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60" w:rsidRPr="00441453" w:rsidRDefault="004B5B60" w:rsidP="004B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 xml:space="preserve">Формы ежеквартальных и годового отчетов о реализации муниципальной программы </w:t>
      </w:r>
    </w:p>
    <w:p w:rsidR="004B5B60" w:rsidRPr="00441453" w:rsidRDefault="004B5B60" w:rsidP="0044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>«Безопасный город на 2019-2024 годы»</w:t>
      </w:r>
      <w:r w:rsidR="0044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53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09049E">
        <w:rPr>
          <w:rFonts w:ascii="Times New Roman" w:hAnsi="Times New Roman" w:cs="Times New Roman"/>
          <w:b/>
          <w:sz w:val="24"/>
          <w:szCs w:val="24"/>
        </w:rPr>
        <w:t>7</w:t>
      </w:r>
      <w:r w:rsidRPr="00441453">
        <w:rPr>
          <w:rFonts w:ascii="Times New Roman" w:hAnsi="Times New Roman" w:cs="Times New Roman"/>
          <w:b/>
          <w:sz w:val="24"/>
          <w:szCs w:val="24"/>
        </w:rPr>
        <w:t>.20</w:t>
      </w:r>
      <w:r w:rsidR="00B37C01">
        <w:rPr>
          <w:rFonts w:ascii="Times New Roman" w:hAnsi="Times New Roman" w:cs="Times New Roman"/>
          <w:b/>
          <w:sz w:val="24"/>
          <w:szCs w:val="24"/>
        </w:rPr>
        <w:t>21</w:t>
      </w:r>
      <w:r w:rsidRPr="004414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0B76" w:rsidRPr="00441453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453" w:rsidRPr="00441453" w:rsidRDefault="00A06A94" w:rsidP="00441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41453" w:rsidRPr="00441453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441453" w:rsidRPr="00441453"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35"/>
        <w:tblW w:w="15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2255"/>
        <w:gridCol w:w="1000"/>
        <w:gridCol w:w="86"/>
        <w:gridCol w:w="1325"/>
        <w:gridCol w:w="12"/>
        <w:gridCol w:w="1228"/>
        <w:gridCol w:w="1121"/>
        <w:gridCol w:w="119"/>
        <w:gridCol w:w="1240"/>
        <w:gridCol w:w="58"/>
        <w:gridCol w:w="1183"/>
        <w:gridCol w:w="14"/>
        <w:gridCol w:w="221"/>
        <w:gridCol w:w="992"/>
        <w:gridCol w:w="27"/>
        <w:gridCol w:w="2241"/>
      </w:tblGrid>
      <w:tr w:rsidR="00441453" w:rsidRPr="00280B76" w:rsidTr="00441453">
        <w:trPr>
          <w:trHeight w:val="20"/>
        </w:trPr>
        <w:tc>
          <w:tcPr>
            <w:tcW w:w="152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41453" w:rsidRPr="00280B76" w:rsidTr="00441453">
        <w:trPr>
          <w:trHeight w:val="509"/>
        </w:trPr>
        <w:tc>
          <w:tcPr>
            <w:tcW w:w="152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441453" w:rsidRPr="00280B76" w:rsidTr="00441453">
        <w:trPr>
          <w:trHeight w:val="1364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1000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7E108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7E108D" w:rsidRDefault="00441453" w:rsidP="004B5D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41453" w:rsidRPr="004B5D1D" w:rsidRDefault="004B5D1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  <w:p w:rsidR="00441453" w:rsidRPr="007E108D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41453" w:rsidRPr="007E108D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A06A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-12,5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AD7A27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AD7A27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«Защита населения и территорий </w:t>
            </w:r>
            <w:proofErr w:type="spellStart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от чрезвычайных ситуаций»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чрезвычайных ситуаций и предпосылок к ним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7E108D" w:rsidRDefault="004B5D1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B5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C01539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C01539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AD7A27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104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сил и средств гражданской обороны 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4B5D1D" w:rsidRDefault="004B5D1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5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  <w:p w:rsidR="00441453" w:rsidRPr="007E108D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A06A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-12,5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AD7A27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AD7A27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proofErr w:type="spellStart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A06A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A06A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816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Степень тяжести последствий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7E108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  <w:hideMark/>
          </w:tcPr>
          <w:p w:rsidR="00441453" w:rsidRPr="00FA6A6E" w:rsidRDefault="00A06A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80B76" w:rsidRPr="00280B76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B76" w:rsidRPr="00280B76" w:rsidRDefault="00280B76" w:rsidP="00280B7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80B76" w:rsidRPr="00280B76" w:rsidSect="00441453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9F0F7D" w:rsidRPr="00505058" w:rsidRDefault="00A06A94" w:rsidP="003B3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F0F7D" w:rsidRPr="00505058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9F0F7D" w:rsidRPr="00505058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613"/>
        <w:gridCol w:w="3231"/>
        <w:gridCol w:w="2370"/>
        <w:gridCol w:w="1187"/>
        <w:gridCol w:w="1206"/>
        <w:gridCol w:w="1896"/>
        <w:gridCol w:w="1942"/>
        <w:gridCol w:w="1372"/>
      </w:tblGrid>
      <w:tr w:rsidR="009F0F7D" w:rsidRPr="006E4ED9" w:rsidTr="00FA6A6E">
        <w:trPr>
          <w:trHeight w:val="20"/>
        </w:trPr>
        <w:tc>
          <w:tcPr>
            <w:tcW w:w="2070" w:type="dxa"/>
            <w:gridSpan w:val="4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31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подпрограммы,   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2370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37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40A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613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231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A740A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уровня оснащённости АПК «Безопасный город»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форменной одежды дежурно-диспетчерскому составу ЕДДС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5949E5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:rsidR="00C01539" w:rsidRPr="00FA6A6E" w:rsidRDefault="00C01539" w:rsidP="00C01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сейфа в кабинет ЕДДС для ведения работ составляющих гос. тайну</w:t>
            </w:r>
          </w:p>
          <w:p w:rsidR="009F0F7D" w:rsidRPr="00FA6A6E" w:rsidRDefault="009F0F7D" w:rsidP="0052748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F7D" w:rsidRPr="00FA6A6E" w:rsidRDefault="009F0F7D" w:rsidP="00C0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</w:t>
            </w: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B68A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B68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B68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  <w:r w:rsidR="00DF73D3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район"  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оповещения"П-166М"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DF73D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C0153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Создание ЦОВ (центр обработки вызовов) на базе ЕДДС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7E108D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7E108D">
        <w:trPr>
          <w:trHeight w:val="172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район», директор муниципального казенного учреждения "Единая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54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"Защита населения и территорий </w:t>
            </w:r>
            <w:proofErr w:type="spellStart"/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от чрезвычайных ситуаций"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30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мероприятий, направленных на защиту и предупреждение населения 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 от чрезвычайных ситуаций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4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C01539" w:rsidRDefault="002B78AC" w:rsidP="002B78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104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31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мероприятий по профилактике нарушений Правил дорожного движения в образовательных учреждениях 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61E3" w:rsidRDefault="00F361E3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00D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</w:t>
      </w:r>
    </w:p>
    <w:p w:rsidR="0049567B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>(выполнение работ) в сфере реализации муниципальной программы</w:t>
      </w:r>
    </w:p>
    <w:p w:rsidR="0033000D" w:rsidRPr="008D1336" w:rsidRDefault="0033000D" w:rsidP="003300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709"/>
        <w:gridCol w:w="2126"/>
        <w:gridCol w:w="1843"/>
        <w:gridCol w:w="1418"/>
        <w:gridCol w:w="1275"/>
        <w:gridCol w:w="1276"/>
        <w:gridCol w:w="1276"/>
        <w:gridCol w:w="1276"/>
        <w:gridCol w:w="1134"/>
        <w:gridCol w:w="1134"/>
      </w:tblGrid>
      <w:tr w:rsidR="0033000D" w:rsidRPr="00FA6A6E" w:rsidTr="0033000D">
        <w:trPr>
          <w:trHeight w:val="945"/>
          <w:tblHeader/>
        </w:trPr>
        <w:tc>
          <w:tcPr>
            <w:tcW w:w="1951" w:type="dxa"/>
            <w:gridSpan w:val="3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000D" w:rsidRPr="00FA6A6E" w:rsidTr="0033000D">
        <w:trPr>
          <w:trHeight w:val="315"/>
          <w:tblHeader/>
        </w:trPr>
        <w:tc>
          <w:tcPr>
            <w:tcW w:w="675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2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00D" w:rsidRPr="00FA6A6E" w:rsidTr="00505058">
        <w:trPr>
          <w:trHeight w:val="282"/>
          <w:tblHeader/>
        </w:trPr>
        <w:tc>
          <w:tcPr>
            <w:tcW w:w="675" w:type="dxa"/>
            <w:vAlign w:val="center"/>
          </w:tcPr>
          <w:p w:rsidR="0033000D" w:rsidRPr="00FA6A6E" w:rsidRDefault="0033000D" w:rsidP="00505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00D" w:rsidRPr="00FA6A6E" w:rsidRDefault="0033000D" w:rsidP="00A709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8" w:type="dxa"/>
            <w:gridSpan w:val="9"/>
            <w:vAlign w:val="center"/>
          </w:tcPr>
          <w:p w:rsidR="0033000D" w:rsidRPr="00FA6A6E" w:rsidRDefault="0033000D" w:rsidP="0050505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33000D" w:rsidRPr="00FA6A6E" w:rsidRDefault="0033000D" w:rsidP="0033000D">
      <w:pPr>
        <w:rPr>
          <w:b/>
          <w:sz w:val="18"/>
          <w:szCs w:val="18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49567B" w:rsidRPr="0033000D" w:rsidRDefault="0049567B" w:rsidP="0033000D">
      <w:pPr>
        <w:rPr>
          <w:rFonts w:ascii="Times New Roman" w:hAnsi="Times New Roman"/>
          <w:sz w:val="24"/>
          <w:szCs w:val="24"/>
        </w:rPr>
        <w:sectPr w:rsidR="0049567B" w:rsidRPr="0033000D" w:rsidSect="0050505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B2C0D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lastRenderedPageBreak/>
        <w:t>Отчет об использовании бюджетных ассигнований бюджета муниципального образования «</w:t>
      </w:r>
      <w:proofErr w:type="spellStart"/>
      <w:r w:rsidRPr="0049567B">
        <w:rPr>
          <w:rFonts w:ascii="Times New Roman" w:hAnsi="Times New Roman"/>
          <w:b/>
          <w:sz w:val="24"/>
          <w:szCs w:val="24"/>
        </w:rPr>
        <w:t>Катангский</w:t>
      </w:r>
      <w:proofErr w:type="spellEnd"/>
      <w:r w:rsidRPr="0049567B">
        <w:rPr>
          <w:rFonts w:ascii="Times New Roman" w:hAnsi="Times New Roman"/>
          <w:b/>
          <w:sz w:val="24"/>
          <w:szCs w:val="24"/>
        </w:rPr>
        <w:t xml:space="preserve"> район» </w:t>
      </w:r>
    </w:p>
    <w:p w:rsidR="00F361E3" w:rsidRPr="0049567B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:rsidR="00F361E3" w:rsidRDefault="00F361E3" w:rsidP="003B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93"/>
        <w:gridCol w:w="526"/>
        <w:gridCol w:w="557"/>
        <w:gridCol w:w="3338"/>
        <w:gridCol w:w="2208"/>
        <w:gridCol w:w="1262"/>
        <w:gridCol w:w="1234"/>
        <w:gridCol w:w="1262"/>
        <w:gridCol w:w="1245"/>
        <w:gridCol w:w="1240"/>
      </w:tblGrid>
      <w:tr w:rsidR="009F0F7D" w:rsidRPr="006E4ED9" w:rsidTr="00FB6525">
        <w:trPr>
          <w:trHeight w:val="499"/>
          <w:tblHeader/>
        </w:trPr>
        <w:tc>
          <w:tcPr>
            <w:tcW w:w="787" w:type="pct"/>
            <w:gridSpan w:val="4"/>
            <w:vMerge w:val="restart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193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9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«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тыс. рублей</w:t>
            </w:r>
          </w:p>
        </w:tc>
        <w:tc>
          <w:tcPr>
            <w:tcW w:w="888" w:type="pct"/>
            <w:gridSpan w:val="2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F0F7D" w:rsidRPr="006E4ED9" w:rsidTr="00FB6525">
        <w:trPr>
          <w:trHeight w:val="620"/>
          <w:tblHeader/>
        </w:trPr>
        <w:tc>
          <w:tcPr>
            <w:tcW w:w="787" w:type="pct"/>
            <w:gridSpan w:val="4"/>
            <w:vMerge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A70969" w:rsidRPr="006E4ED9" w:rsidTr="00FB6525">
        <w:trPr>
          <w:trHeight w:val="574"/>
          <w:tblHeader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3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09049E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4956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bottom"/>
          </w:tcPr>
          <w:p w:rsidR="00A70969" w:rsidRPr="0009049E" w:rsidRDefault="0009049E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4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6305,555</w:t>
            </w:r>
          </w:p>
        </w:tc>
        <w:tc>
          <w:tcPr>
            <w:tcW w:w="441" w:type="pct"/>
            <w:noWrap/>
            <w:vAlign w:val="bottom"/>
          </w:tcPr>
          <w:p w:rsidR="00A70969" w:rsidRPr="00FA6A6E" w:rsidRDefault="0009049E" w:rsidP="00C015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3174,00</w:t>
            </w:r>
          </w:p>
        </w:tc>
        <w:tc>
          <w:tcPr>
            <w:tcW w:w="451" w:type="pct"/>
            <w:noWrap/>
            <w:vAlign w:val="bottom"/>
          </w:tcPr>
          <w:p w:rsidR="00A70969" w:rsidRPr="00FA6A6E" w:rsidRDefault="0009049E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445" w:type="pct"/>
            <w:noWrap/>
            <w:vAlign w:val="bottom"/>
          </w:tcPr>
          <w:p w:rsidR="00A70969" w:rsidRPr="00FA6A6E" w:rsidRDefault="0012290D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45,07</w:t>
            </w:r>
          </w:p>
        </w:tc>
        <w:tc>
          <w:tcPr>
            <w:tcW w:w="443" w:type="pct"/>
            <w:noWrap/>
            <w:vAlign w:val="bottom"/>
          </w:tcPr>
          <w:p w:rsidR="00A70969" w:rsidRPr="00FA6A6E" w:rsidRDefault="0012290D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89,54</w:t>
            </w:r>
          </w:p>
        </w:tc>
      </w:tr>
      <w:tr w:rsidR="00FB6525" w:rsidRPr="006E4ED9" w:rsidTr="0009049E">
        <w:trPr>
          <w:trHeight w:val="756"/>
        </w:trPr>
        <w:tc>
          <w:tcPr>
            <w:tcW w:w="188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969" w:rsidRPr="006E4ED9" w:rsidTr="0009049E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4A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6023,555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09049E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3033,00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EA1349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47,18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EA1349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93,70</w:t>
            </w:r>
          </w:p>
        </w:tc>
      </w:tr>
      <w:tr w:rsidR="00FB6525" w:rsidRPr="006E4ED9" w:rsidTr="0009049E">
        <w:trPr>
          <w:trHeight w:val="552"/>
        </w:trPr>
        <w:tc>
          <w:tcPr>
            <w:tcW w:w="188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FB6525" w:rsidRPr="00FB6525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noWrap/>
          </w:tcPr>
          <w:p w:rsidR="00FB6525" w:rsidRPr="00FB6525" w:rsidRDefault="00FB6525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969" w:rsidRPr="006E4ED9" w:rsidTr="00FB6525">
        <w:trPr>
          <w:trHeight w:val="525"/>
        </w:trPr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5978,555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09049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090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2809,04843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09348E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46,99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09348E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93,63</w:t>
            </w:r>
          </w:p>
        </w:tc>
      </w:tr>
      <w:tr w:rsidR="00A70969" w:rsidRPr="006E4ED9" w:rsidTr="0009049E">
        <w:trPr>
          <w:trHeight w:val="52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Материально-техническое обеспечение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09049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0934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09348E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09348E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70969" w:rsidRPr="006E4ED9" w:rsidTr="0009049E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форменной одежды для дежурно-диспетчерского состава муниципального казенного учреждения «Единая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 тайну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09049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EA134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EA134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 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09049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EA134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EA134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117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услуг по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  каналов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84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003F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70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FD3AC1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 w:rsidP="00887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4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центра обработки вызовов (ЦОВ) на базе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65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FB6525">
        <w:trPr>
          <w:trHeight w:val="527"/>
        </w:trPr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00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003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09049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EA134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573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«Зашита населения и территорий </w:t>
            </w:r>
            <w:proofErr w:type="spellStart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от чрезвычайных ситуаций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441" w:type="pct"/>
            <w:vMerge w:val="restart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138,500</w:t>
            </w:r>
          </w:p>
        </w:tc>
        <w:tc>
          <w:tcPr>
            <w:tcW w:w="451" w:type="pct"/>
            <w:vMerge w:val="restart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257"/>
        </w:trPr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09049E">
        <w:trPr>
          <w:trHeight w:val="67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13,500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74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A70969" w:rsidRPr="00FA6A6E" w:rsidRDefault="0009049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95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мероприятий, направленных на защиту и предупреждение населения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от чрезвычайных ситуаций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A70969" w:rsidRPr="00FA6A6E" w:rsidRDefault="0012290D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A70969" w:rsidRPr="00FA6A6E" w:rsidRDefault="0012290D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A70969" w:rsidRPr="00FA6A6E" w:rsidRDefault="0012290D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70969" w:rsidRPr="00FA6A6E" w:rsidRDefault="00EA134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3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</w:tcPr>
          <w:p w:rsidR="00A70969" w:rsidRPr="00FA6A6E" w:rsidRDefault="0012290D" w:rsidP="001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441" w:type="pct"/>
            <w:vMerge w:val="restart"/>
            <w:noWrap/>
            <w:vAlign w:val="center"/>
          </w:tcPr>
          <w:p w:rsidR="00A70969" w:rsidRPr="00FA6A6E" w:rsidRDefault="0012290D" w:rsidP="001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2,500</w:t>
            </w:r>
          </w:p>
        </w:tc>
        <w:tc>
          <w:tcPr>
            <w:tcW w:w="451" w:type="pct"/>
            <w:vMerge w:val="restart"/>
            <w:noWrap/>
            <w:vAlign w:val="center"/>
          </w:tcPr>
          <w:p w:rsidR="00A70969" w:rsidRPr="00FA6A6E" w:rsidRDefault="0012290D" w:rsidP="00122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FA6A6E" w:rsidRDefault="00EA1349" w:rsidP="00EA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noWrap/>
            <w:vAlign w:val="center"/>
          </w:tcPr>
          <w:p w:rsidR="00A70969" w:rsidRPr="00FA6A6E" w:rsidRDefault="00EA1349" w:rsidP="00EA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70969" w:rsidRPr="006E4ED9" w:rsidTr="00FB6525">
        <w:trPr>
          <w:trHeight w:val="486"/>
        </w:trPr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6B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:rsidR="00A70969" w:rsidRPr="00FA6A6E" w:rsidRDefault="00A70969" w:rsidP="0045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09049E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789" w:type="pct"/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12290D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12290D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12290D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EA134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EA134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:rsidTr="0009049E">
        <w:trPr>
          <w:trHeight w:val="1511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по профилактике нарушений Правил дорожного движения в образовательных учреждениях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12290D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12290D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12290D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EA134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:rsidR="00A70969" w:rsidRPr="00FA6A6E" w:rsidRDefault="00EA134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4B" w:rsidRDefault="0046234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7D" w:rsidRPr="00FF349C" w:rsidRDefault="00FF349C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9C">
        <w:rPr>
          <w:rFonts w:ascii="Times New Roman" w:hAnsi="Times New Roman" w:cs="Times New Roman"/>
          <w:b/>
          <w:sz w:val="24"/>
          <w:szCs w:val="24"/>
        </w:rPr>
        <w:lastRenderedPageBreak/>
        <w:t>Отчет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118"/>
        <w:gridCol w:w="5278"/>
        <w:gridCol w:w="1620"/>
        <w:gridCol w:w="1480"/>
        <w:gridCol w:w="1540"/>
      </w:tblGrid>
      <w:tr w:rsidR="009F0F7D" w:rsidRPr="006E4ED9" w:rsidTr="00FA6A6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7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расходов на отчетный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согласно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F0F7D" w:rsidRPr="006E4ED9" w:rsidTr="00FA6A6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09348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9F0F7D" w:rsidRPr="00FA6A6E" w:rsidRDefault="00FF349C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"Безопасный город на 2019-2024 годы"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09348E" w:rsidP="0009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34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6305,555</w:t>
            </w:r>
          </w:p>
        </w:tc>
        <w:tc>
          <w:tcPr>
            <w:tcW w:w="1480" w:type="dxa"/>
            <w:noWrap/>
            <w:vAlign w:val="center"/>
          </w:tcPr>
          <w:p w:rsidR="009F0F7D" w:rsidRPr="00FA6A6E" w:rsidRDefault="0009348E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934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1540" w:type="dxa"/>
            <w:noWrap/>
            <w:vAlign w:val="center"/>
          </w:tcPr>
          <w:p w:rsidR="009F0F7D" w:rsidRPr="00FA6A6E" w:rsidRDefault="0042651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45,07</w:t>
            </w:r>
          </w:p>
        </w:tc>
      </w:tr>
      <w:tr w:rsidR="0042651C" w:rsidRPr="006E4ED9" w:rsidTr="007E108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</w:tcPr>
          <w:p w:rsidR="0042651C" w:rsidRPr="0042651C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6305,555</w:t>
            </w:r>
          </w:p>
        </w:tc>
        <w:tc>
          <w:tcPr>
            <w:tcW w:w="1480" w:type="dxa"/>
            <w:noWrap/>
            <w:vAlign w:val="center"/>
          </w:tcPr>
          <w:p w:rsidR="0042651C" w:rsidRPr="0042651C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1540" w:type="dxa"/>
            <w:noWrap/>
          </w:tcPr>
          <w:p w:rsidR="0042651C" w:rsidRPr="0042651C" w:rsidRDefault="0042651C" w:rsidP="004265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45,07</w:t>
            </w: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6F2C57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6F2C57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42651C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2651C" w:rsidRPr="006E4ED9" w:rsidTr="007E108D">
        <w:trPr>
          <w:trHeight w:val="20"/>
        </w:trPr>
        <w:tc>
          <w:tcPr>
            <w:tcW w:w="778" w:type="dxa"/>
            <w:vMerge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42651C" w:rsidRPr="00FA6A6E" w:rsidRDefault="0042651C" w:rsidP="00426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42651C" w:rsidRPr="00FA6A6E" w:rsidRDefault="0042651C" w:rsidP="0042651C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</w:tcPr>
          <w:p w:rsidR="0042651C" w:rsidRPr="0042651C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6305,555</w:t>
            </w:r>
          </w:p>
        </w:tc>
        <w:tc>
          <w:tcPr>
            <w:tcW w:w="1480" w:type="dxa"/>
            <w:noWrap/>
            <w:vAlign w:val="center"/>
          </w:tcPr>
          <w:p w:rsidR="0042651C" w:rsidRPr="0042651C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1540" w:type="dxa"/>
            <w:noWrap/>
          </w:tcPr>
          <w:p w:rsidR="0042651C" w:rsidRPr="0042651C" w:rsidRDefault="0042651C" w:rsidP="004265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45,07</w:t>
            </w: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42651C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6023,555</w:t>
            </w: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1540" w:type="dxa"/>
            <w:noWrap/>
            <w:vAlign w:val="center"/>
          </w:tcPr>
          <w:p w:rsidR="0042651C" w:rsidRPr="00FA6A6E" w:rsidRDefault="002977D8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7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47,18</w:t>
            </w:r>
          </w:p>
        </w:tc>
      </w:tr>
      <w:tr w:rsidR="0042651C" w:rsidRPr="006E4ED9" w:rsidTr="007E108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</w:tcPr>
          <w:p w:rsidR="0042651C" w:rsidRPr="0042651C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6023,555</w:t>
            </w:r>
          </w:p>
        </w:tc>
        <w:tc>
          <w:tcPr>
            <w:tcW w:w="1480" w:type="dxa"/>
            <w:noWrap/>
            <w:vAlign w:val="center"/>
          </w:tcPr>
          <w:p w:rsidR="0042651C" w:rsidRPr="0042651C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1540" w:type="dxa"/>
            <w:noWrap/>
          </w:tcPr>
          <w:p w:rsidR="0042651C" w:rsidRPr="002977D8" w:rsidRDefault="002977D8" w:rsidP="002977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7D8">
              <w:rPr>
                <w:rFonts w:ascii="Times New Roman" w:hAnsi="Times New Roman" w:cs="Times New Roman"/>
                <w:sz w:val="18"/>
                <w:szCs w:val="18"/>
              </w:rPr>
              <w:t>47,18</w:t>
            </w: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42651C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42651C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2977D8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7E108D">
        <w:trPr>
          <w:trHeight w:val="311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2977D8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</w:tcPr>
          <w:p w:rsidR="0042651C" w:rsidRPr="0042651C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6023,555</w:t>
            </w:r>
          </w:p>
        </w:tc>
        <w:tc>
          <w:tcPr>
            <w:tcW w:w="1480" w:type="dxa"/>
            <w:noWrap/>
            <w:vAlign w:val="center"/>
          </w:tcPr>
          <w:p w:rsidR="0042651C" w:rsidRPr="0042651C" w:rsidRDefault="0042651C" w:rsidP="00297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2842,04843</w:t>
            </w:r>
          </w:p>
        </w:tc>
        <w:tc>
          <w:tcPr>
            <w:tcW w:w="1540" w:type="dxa"/>
            <w:noWrap/>
          </w:tcPr>
          <w:p w:rsidR="0042651C" w:rsidRPr="002977D8" w:rsidRDefault="002977D8" w:rsidP="002977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7D8">
              <w:rPr>
                <w:rFonts w:ascii="Times New Roman" w:hAnsi="Times New Roman" w:cs="Times New Roman"/>
                <w:sz w:val="18"/>
                <w:szCs w:val="18"/>
              </w:rPr>
              <w:t>47,18</w:t>
            </w:r>
          </w:p>
        </w:tc>
      </w:tr>
      <w:tr w:rsidR="0042651C" w:rsidRPr="006E4ED9" w:rsidTr="00FA6A6E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42651C">
        <w:trPr>
          <w:trHeight w:val="216"/>
        </w:trPr>
        <w:tc>
          <w:tcPr>
            <w:tcW w:w="778" w:type="dxa"/>
            <w:vMerge w:val="restart"/>
            <w:noWrap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"Защита населения и территорий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от чрезвычайных ситуаций"</w:t>
            </w: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</w:t>
            </w: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651C" w:rsidRPr="006E4ED9" w:rsidTr="0042651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</w:tcPr>
          <w:p w:rsidR="0042651C" w:rsidRPr="009F1F8B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1480" w:type="dxa"/>
            <w:noWrap/>
            <w:vAlign w:val="center"/>
          </w:tcPr>
          <w:p w:rsidR="0042651C" w:rsidRPr="009F1F8B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2651C" w:rsidRPr="009F1F8B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651C" w:rsidRPr="006E4ED9" w:rsidTr="0042651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42651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</w:tcPr>
          <w:p w:rsidR="0042651C" w:rsidRPr="009F1F8B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65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1480" w:type="dxa"/>
            <w:noWrap/>
            <w:vAlign w:val="center"/>
          </w:tcPr>
          <w:p w:rsidR="0042651C" w:rsidRPr="009F1F8B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2651C" w:rsidRPr="009F1F8B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"Повышение безопасности дорожного движения на территории 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района"</w:t>
            </w: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51C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2651C" w:rsidRPr="00FA6A6E" w:rsidRDefault="0042651C" w:rsidP="0042651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2651C" w:rsidRPr="00FA6A6E" w:rsidRDefault="0042651C" w:rsidP="00426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  <w:sectPr w:rsidR="009F0F7D" w:rsidRPr="006E4ED9" w:rsidSect="00AB2C0D">
          <w:pgSz w:w="16838" w:h="11906" w:orient="landscape"/>
          <w:pgMar w:top="851" w:right="1418" w:bottom="567" w:left="1418" w:header="709" w:footer="709" w:gutter="0"/>
          <w:cols w:space="708"/>
          <w:titlePg/>
          <w:docGrid w:linePitch="360"/>
        </w:sectPr>
      </w:pPr>
    </w:p>
    <w:p w:rsidR="009F0F7D" w:rsidRPr="003B363C" w:rsidRDefault="00575665" w:rsidP="003B363C">
      <w:pPr>
        <w:jc w:val="center"/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b/>
          <w:sz w:val="24"/>
          <w:szCs w:val="24"/>
        </w:rPr>
        <w:lastRenderedPageBreak/>
        <w:t>Форма 6.</w:t>
      </w:r>
      <w:r>
        <w:t xml:space="preserve"> </w:t>
      </w:r>
      <w:hyperlink r:id="rId10" w:history="1">
        <w:r w:rsidR="009F0F7D" w:rsidRPr="003B363C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9F0F7D" w:rsidRPr="003B363C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F0F7D" w:rsidRPr="006E4ED9" w:rsidTr="008F2BF0">
        <w:trPr>
          <w:trHeight w:val="20"/>
        </w:trPr>
        <w:tc>
          <w:tcPr>
            <w:tcW w:w="50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9F0F7D" w:rsidRPr="006E4ED9" w:rsidTr="008F2BF0">
        <w:trPr>
          <w:trHeight w:val="20"/>
        </w:trPr>
        <w:tc>
          <w:tcPr>
            <w:tcW w:w="500" w:type="dxa"/>
            <w:noWrap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9F0F7D" w:rsidRPr="001008A3" w:rsidRDefault="00F40788" w:rsidP="008F2BF0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08A3">
              <w:rPr>
                <w:rFonts w:ascii="Times New Roman" w:hAnsi="Times New Roman"/>
                <w:color w:val="FF0000"/>
                <w:sz w:val="20"/>
                <w:szCs w:val="20"/>
              </w:rPr>
              <w:t>Постановление</w:t>
            </w:r>
            <w:r w:rsidR="009F0F7D" w:rsidRPr="001008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Администрации МО «</w:t>
            </w:r>
            <w:proofErr w:type="spellStart"/>
            <w:r w:rsidR="009F0F7D" w:rsidRPr="001008A3">
              <w:rPr>
                <w:rFonts w:ascii="Times New Roman" w:hAnsi="Times New Roman"/>
                <w:color w:val="FF0000"/>
                <w:sz w:val="20"/>
                <w:szCs w:val="20"/>
              </w:rPr>
              <w:t>Катангский</w:t>
            </w:r>
            <w:proofErr w:type="spellEnd"/>
            <w:r w:rsidR="009F0F7D" w:rsidRPr="001008A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9F0F7D" w:rsidRPr="001008A3" w:rsidRDefault="002977D8" w:rsidP="002977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vAlign w:val="bottom"/>
            <w:hideMark/>
          </w:tcPr>
          <w:p w:rsidR="009F0F7D" w:rsidRPr="001008A3" w:rsidRDefault="002977D8" w:rsidP="002977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796" w:type="dxa"/>
            <w:noWrap/>
            <w:vAlign w:val="bottom"/>
            <w:hideMark/>
          </w:tcPr>
          <w:p w:rsidR="009F0F7D" w:rsidRPr="001008A3" w:rsidRDefault="002977D8" w:rsidP="002977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9F0F7D" w:rsidRDefault="009F0F7D" w:rsidP="00575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F7D" w:rsidSect="00575665">
      <w:pgSz w:w="16838" w:h="11906" w:orient="landscape"/>
      <w:pgMar w:top="141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8D" w:rsidRDefault="007E108D" w:rsidP="00F361E3">
      <w:pPr>
        <w:spacing w:after="0" w:line="240" w:lineRule="auto"/>
      </w:pPr>
      <w:r>
        <w:separator/>
      </w:r>
    </w:p>
  </w:endnote>
  <w:endnote w:type="continuationSeparator" w:id="0">
    <w:p w:rsidR="007E108D" w:rsidRDefault="007E108D" w:rsidP="00F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8D" w:rsidRDefault="007E108D" w:rsidP="00F361E3">
      <w:pPr>
        <w:spacing w:after="0" w:line="240" w:lineRule="auto"/>
      </w:pPr>
      <w:r>
        <w:separator/>
      </w:r>
    </w:p>
  </w:footnote>
  <w:footnote w:type="continuationSeparator" w:id="0">
    <w:p w:rsidR="007E108D" w:rsidRDefault="007E108D" w:rsidP="00F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D"/>
    <w:rsid w:val="00002D08"/>
    <w:rsid w:val="000033B0"/>
    <w:rsid w:val="00003FBE"/>
    <w:rsid w:val="00003FFD"/>
    <w:rsid w:val="00010E01"/>
    <w:rsid w:val="0004047F"/>
    <w:rsid w:val="000413BA"/>
    <w:rsid w:val="0007027C"/>
    <w:rsid w:val="000709DF"/>
    <w:rsid w:val="0009049E"/>
    <w:rsid w:val="0009348E"/>
    <w:rsid w:val="000A19C5"/>
    <w:rsid w:val="000C3247"/>
    <w:rsid w:val="000E4531"/>
    <w:rsid w:val="001008A3"/>
    <w:rsid w:val="00110712"/>
    <w:rsid w:val="0012290D"/>
    <w:rsid w:val="001413D8"/>
    <w:rsid w:val="001607C7"/>
    <w:rsid w:val="001844FA"/>
    <w:rsid w:val="00192E3C"/>
    <w:rsid w:val="001C735B"/>
    <w:rsid w:val="001D277E"/>
    <w:rsid w:val="00262349"/>
    <w:rsid w:val="002761F9"/>
    <w:rsid w:val="00280919"/>
    <w:rsid w:val="00280B76"/>
    <w:rsid w:val="002860D7"/>
    <w:rsid w:val="00294AF4"/>
    <w:rsid w:val="002977D8"/>
    <w:rsid w:val="002A046A"/>
    <w:rsid w:val="002A2FF9"/>
    <w:rsid w:val="002B78AC"/>
    <w:rsid w:val="002C2EEC"/>
    <w:rsid w:val="002F6FD2"/>
    <w:rsid w:val="00312BC9"/>
    <w:rsid w:val="00313DBD"/>
    <w:rsid w:val="00317849"/>
    <w:rsid w:val="003231B5"/>
    <w:rsid w:val="0033000D"/>
    <w:rsid w:val="00346DB8"/>
    <w:rsid w:val="0036074F"/>
    <w:rsid w:val="003941BE"/>
    <w:rsid w:val="00395C20"/>
    <w:rsid w:val="003B363C"/>
    <w:rsid w:val="003B76D5"/>
    <w:rsid w:val="00420E93"/>
    <w:rsid w:val="00423ED9"/>
    <w:rsid w:val="0042651C"/>
    <w:rsid w:val="004354DE"/>
    <w:rsid w:val="00441453"/>
    <w:rsid w:val="00446FDE"/>
    <w:rsid w:val="0045153F"/>
    <w:rsid w:val="0046234B"/>
    <w:rsid w:val="0049567B"/>
    <w:rsid w:val="004A0F74"/>
    <w:rsid w:val="004B3617"/>
    <w:rsid w:val="004B5B60"/>
    <w:rsid w:val="004B5D1D"/>
    <w:rsid w:val="004D5275"/>
    <w:rsid w:val="004E7A58"/>
    <w:rsid w:val="0050101D"/>
    <w:rsid w:val="00502687"/>
    <w:rsid w:val="00505058"/>
    <w:rsid w:val="005178BC"/>
    <w:rsid w:val="00527487"/>
    <w:rsid w:val="00557517"/>
    <w:rsid w:val="00575665"/>
    <w:rsid w:val="005927C9"/>
    <w:rsid w:val="005949E5"/>
    <w:rsid w:val="005B68A3"/>
    <w:rsid w:val="005D184C"/>
    <w:rsid w:val="00605E76"/>
    <w:rsid w:val="00607486"/>
    <w:rsid w:val="006144D7"/>
    <w:rsid w:val="006B25F7"/>
    <w:rsid w:val="006D2480"/>
    <w:rsid w:val="006F2C57"/>
    <w:rsid w:val="00730231"/>
    <w:rsid w:val="0077627A"/>
    <w:rsid w:val="00776C70"/>
    <w:rsid w:val="00790884"/>
    <w:rsid w:val="00791E48"/>
    <w:rsid w:val="007A556A"/>
    <w:rsid w:val="007D7DCF"/>
    <w:rsid w:val="007E108D"/>
    <w:rsid w:val="007E3EFF"/>
    <w:rsid w:val="00817DC0"/>
    <w:rsid w:val="0082574C"/>
    <w:rsid w:val="00833430"/>
    <w:rsid w:val="00841BFC"/>
    <w:rsid w:val="00856BBC"/>
    <w:rsid w:val="00887C00"/>
    <w:rsid w:val="00891806"/>
    <w:rsid w:val="008B66DC"/>
    <w:rsid w:val="008F2BF0"/>
    <w:rsid w:val="009440D6"/>
    <w:rsid w:val="009A663C"/>
    <w:rsid w:val="009B10C8"/>
    <w:rsid w:val="009B4F6E"/>
    <w:rsid w:val="009F0F7D"/>
    <w:rsid w:val="009F1F8B"/>
    <w:rsid w:val="00A06A94"/>
    <w:rsid w:val="00A475EB"/>
    <w:rsid w:val="00A6391B"/>
    <w:rsid w:val="00A70969"/>
    <w:rsid w:val="00A740AB"/>
    <w:rsid w:val="00A80C01"/>
    <w:rsid w:val="00AA57A9"/>
    <w:rsid w:val="00AB2C0D"/>
    <w:rsid w:val="00AD7A27"/>
    <w:rsid w:val="00AF3DA9"/>
    <w:rsid w:val="00B12EAE"/>
    <w:rsid w:val="00B24EB4"/>
    <w:rsid w:val="00B37C01"/>
    <w:rsid w:val="00B51ADC"/>
    <w:rsid w:val="00B6481D"/>
    <w:rsid w:val="00BB08E8"/>
    <w:rsid w:val="00BB7028"/>
    <w:rsid w:val="00C0056B"/>
    <w:rsid w:val="00C01539"/>
    <w:rsid w:val="00C17CE6"/>
    <w:rsid w:val="00C31F6D"/>
    <w:rsid w:val="00C330CE"/>
    <w:rsid w:val="00C57D01"/>
    <w:rsid w:val="00C73B71"/>
    <w:rsid w:val="00CA2B51"/>
    <w:rsid w:val="00CB1659"/>
    <w:rsid w:val="00CD326E"/>
    <w:rsid w:val="00CE3497"/>
    <w:rsid w:val="00D15C6B"/>
    <w:rsid w:val="00D35121"/>
    <w:rsid w:val="00D90A59"/>
    <w:rsid w:val="00DB15A1"/>
    <w:rsid w:val="00DD272C"/>
    <w:rsid w:val="00DD39F7"/>
    <w:rsid w:val="00DF73D3"/>
    <w:rsid w:val="00E0350C"/>
    <w:rsid w:val="00E07C30"/>
    <w:rsid w:val="00E15CB9"/>
    <w:rsid w:val="00E160B8"/>
    <w:rsid w:val="00E52B1E"/>
    <w:rsid w:val="00E67BA0"/>
    <w:rsid w:val="00E80741"/>
    <w:rsid w:val="00EA1349"/>
    <w:rsid w:val="00ED16C0"/>
    <w:rsid w:val="00F02FC3"/>
    <w:rsid w:val="00F17210"/>
    <w:rsid w:val="00F215DB"/>
    <w:rsid w:val="00F26B4C"/>
    <w:rsid w:val="00F361E3"/>
    <w:rsid w:val="00F40788"/>
    <w:rsid w:val="00FA6A6E"/>
    <w:rsid w:val="00FB6525"/>
    <w:rsid w:val="00FD3AC1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BAE"/>
  <w15:docId w15:val="{0B8BF4C4-501E-4710-AED9-8A8CD1B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BD0F-D6E2-4EAE-9670-CAF9DB97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Костя Кузнецов</cp:lastModifiedBy>
  <cp:revision>9</cp:revision>
  <cp:lastPrinted>2017-08-07T06:15:00Z</cp:lastPrinted>
  <dcterms:created xsi:type="dcterms:W3CDTF">2021-02-10T02:36:00Z</dcterms:created>
  <dcterms:modified xsi:type="dcterms:W3CDTF">2021-07-13T02:48:00Z</dcterms:modified>
</cp:coreProperties>
</file>