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6F4CB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666CB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187ABB" w:rsidRPr="00187ABB" w:rsidRDefault="00187AB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по состоянию на 01.</w:t>
      </w:r>
      <w:r w:rsidR="00FC11C1">
        <w:rPr>
          <w:rFonts w:ascii="Times New Roman" w:hAnsi="Times New Roman"/>
          <w:sz w:val="24"/>
          <w:szCs w:val="24"/>
          <w:u w:val="single"/>
          <w:lang w:eastAsia="ru-RU"/>
        </w:rPr>
        <w:t>01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130556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C11C1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1666CB" w:rsidRDefault="007D58CC" w:rsidP="007D5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4"/>
        <w:gridCol w:w="3707"/>
        <w:gridCol w:w="1129"/>
        <w:gridCol w:w="7"/>
        <w:gridCol w:w="1095"/>
        <w:gridCol w:w="1096"/>
        <w:gridCol w:w="1100"/>
        <w:gridCol w:w="7"/>
        <w:gridCol w:w="1114"/>
        <w:gridCol w:w="1130"/>
      </w:tblGrid>
      <w:tr w:rsidR="001666CB" w:rsidTr="00DB56B2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707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96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0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1666CB" w:rsidTr="00DB56B2">
        <w:trPr>
          <w:trHeight w:val="20"/>
          <w:tblHeader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F9D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4F9D" w:rsidRDefault="00A34F9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D42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A34F9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  <w:hideMark/>
          </w:tcPr>
          <w:p w:rsidR="00A34F9D" w:rsidRDefault="00A34F9D" w:rsidP="00A34F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95%.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45%.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96%.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40%.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100%.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40%.</w:t>
            </w:r>
          </w:p>
          <w:p w:rsidR="00A34F9D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- Доля выпускников, получивших аттестаты по результатам освоения основной общеобразовательной программы на уровне среднего общего образования, не ниже 100%.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5C71B7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в возрасте от 6 до 18 лет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04EB0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110278,3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04EB0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110278,3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04EB0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104350,8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55943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67FC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D429E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Pr="00955943" w:rsidRDefault="00767FC4" w:rsidP="00767F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r w:rsidR="009D429E"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дополнительн</w:t>
            </w: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ых</w:t>
            </w:r>
            <w:r w:rsidR="009D429E"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</w:t>
            </w: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щеразвивающих программ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767FC4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67FC4" w:rsidP="00767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59292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59292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59292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B56B2" w:rsidTr="00DB56B2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DB56B2" w:rsidRPr="00955943" w:rsidRDefault="00DB56B2" w:rsidP="006B3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94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 дополнительных общеразвивающих программ (персонифицированное финансирование)</w:t>
            </w:r>
          </w:p>
        </w:tc>
        <w:tc>
          <w:tcPr>
            <w:tcW w:w="37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Pr="009D429E" w:rsidRDefault="00DB56B2" w:rsidP="006B3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6B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Человеко-часы</w:t>
            </w:r>
          </w:p>
        </w:tc>
        <w:tc>
          <w:tcPr>
            <w:tcW w:w="10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40860</w:t>
            </w:r>
          </w:p>
        </w:tc>
        <w:tc>
          <w:tcPr>
            <w:tcW w:w="10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40860</w:t>
            </w:r>
          </w:p>
        </w:tc>
        <w:tc>
          <w:tcPr>
            <w:tcW w:w="1107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40860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904EB0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B56B2" w:rsidRDefault="00DB56B2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C47F4" w:rsidRDefault="003C47F4"/>
    <w:p w:rsidR="001666CB" w:rsidRPr="001666CB" w:rsidRDefault="00955943" w:rsidP="001666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836F5C"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>чальник</w:t>
      </w:r>
      <w:r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 xml:space="preserve"> МОО</w:t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Ведущий экономист</w:t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  <w:t>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proofErr w:type="gramStart"/>
      <w:r w:rsidRPr="001666CB">
        <w:rPr>
          <w:rFonts w:ascii="Times New Roman" w:hAnsi="Times New Roman"/>
        </w:rPr>
        <w:t>Исп</w:t>
      </w:r>
      <w:proofErr w:type="gramEnd"/>
      <w:r w:rsidRPr="001666CB">
        <w:rPr>
          <w:rFonts w:ascii="Times New Roman" w:hAnsi="Times New Roman"/>
        </w:rPr>
        <w:t>: А.Ю.Забелина</w:t>
      </w:r>
    </w:p>
    <w:p w:rsidR="001666CB" w:rsidRPr="00955943" w:rsidRDefault="001666CB" w:rsidP="00955943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Тел: 21-281</w:t>
      </w:r>
      <w:bookmarkStart w:id="0" w:name="_GoBack"/>
      <w:bookmarkEnd w:id="0"/>
    </w:p>
    <w:sectPr w:rsidR="001666CB" w:rsidRPr="00955943" w:rsidSect="00955943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130556"/>
    <w:rsid w:val="001666CB"/>
    <w:rsid w:val="00187ABB"/>
    <w:rsid w:val="001979F4"/>
    <w:rsid w:val="001C286A"/>
    <w:rsid w:val="0027512F"/>
    <w:rsid w:val="003021C6"/>
    <w:rsid w:val="00351420"/>
    <w:rsid w:val="003626C0"/>
    <w:rsid w:val="003C47F4"/>
    <w:rsid w:val="00417888"/>
    <w:rsid w:val="00560A71"/>
    <w:rsid w:val="005C71B7"/>
    <w:rsid w:val="00623208"/>
    <w:rsid w:val="00656DE2"/>
    <w:rsid w:val="006F4CBD"/>
    <w:rsid w:val="00767FC4"/>
    <w:rsid w:val="007A4B6D"/>
    <w:rsid w:val="007D58CC"/>
    <w:rsid w:val="00836F5C"/>
    <w:rsid w:val="00854E54"/>
    <w:rsid w:val="0086089A"/>
    <w:rsid w:val="00904EB0"/>
    <w:rsid w:val="00955943"/>
    <w:rsid w:val="009C7E89"/>
    <w:rsid w:val="009D429E"/>
    <w:rsid w:val="00A34F9D"/>
    <w:rsid w:val="00C77C82"/>
    <w:rsid w:val="00DA3330"/>
    <w:rsid w:val="00DB56B2"/>
    <w:rsid w:val="00DC0C9B"/>
    <w:rsid w:val="00E86AA2"/>
    <w:rsid w:val="00FC11C1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45</cp:revision>
  <cp:lastPrinted>2021-07-14T03:48:00Z</cp:lastPrinted>
  <dcterms:created xsi:type="dcterms:W3CDTF">2016-11-01T03:32:00Z</dcterms:created>
  <dcterms:modified xsi:type="dcterms:W3CDTF">2022-02-02T03:35:00Z</dcterms:modified>
</cp:coreProperties>
</file>