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F21A" w14:textId="77777777" w:rsidR="00E03EC6" w:rsidRPr="004555BD" w:rsidRDefault="00E03EC6" w:rsidP="004506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ПОЯСНИТЕЛЬНАЯ ЗАПИСКА</w:t>
      </w:r>
    </w:p>
    <w:p w14:paraId="5236A696" w14:textId="53D12014" w:rsidR="00283D36" w:rsidRPr="004555BD" w:rsidRDefault="00283D36" w:rsidP="00283D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к проекту бюджета</w:t>
      </w:r>
      <w:r w:rsidR="00B6642A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3B4DBA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«Катангский район» на 202</w:t>
      </w:r>
      <w:r w:rsidR="00407A1C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</w:t>
      </w:r>
      <w:r w:rsidR="00B6642A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07A1C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годов»</w:t>
      </w:r>
    </w:p>
    <w:p w14:paraId="15A1ABDA" w14:textId="77777777" w:rsidR="00283D36" w:rsidRPr="004555BD" w:rsidRDefault="00283D36" w:rsidP="00800A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4A7820" w14:textId="77777777" w:rsidR="00E03EC6" w:rsidRPr="004555BD" w:rsidRDefault="00E03EC6" w:rsidP="0080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1EF4ABA" w14:textId="6048E893" w:rsidR="00B6642A" w:rsidRPr="004555BD" w:rsidRDefault="00B6642A" w:rsidP="00B66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Hlk90022577"/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 бюджета муниципального образования «Катангский район» на 20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154ED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годов» (далее –</w:t>
      </w:r>
      <w:r w:rsidR="00BE3B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 бюджета) подготовлен в соответствии с требованиями Бюджетного кодекса Российской Федерации</w:t>
      </w:r>
      <w:r w:rsidR="004154ED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учетом положений проекта Основных направлений бюджетной, налоговой и </w:t>
      </w:r>
      <w:proofErr w:type="spellStart"/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таможенно</w:t>
      </w:r>
      <w:proofErr w:type="spellEnd"/>
      <w:r w:rsidR="00A34A4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A34A4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тарифной политики 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на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разработанных Минфином России, указа Президента Российской Федерации от 7 мая 2018 года № 204 «О национальных целях и стратегических задачах развития </w:t>
      </w:r>
      <w:r w:rsidR="00BE3B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оссийской Федерации на период до 2024</w:t>
      </w:r>
      <w:r w:rsidR="00BE3B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года», основных направлений бюджетной и налоговой политики </w:t>
      </w:r>
      <w:r w:rsidR="004660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образования «Катангский район»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на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проектов </w:t>
      </w:r>
      <w:r w:rsidR="004660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муниципальных программ Катангского района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и иных документов стратегического планирования.</w:t>
      </w:r>
    </w:p>
    <w:bookmarkEnd w:id="0"/>
    <w:p w14:paraId="74129902" w14:textId="77777777" w:rsidR="009458B7" w:rsidRPr="004555BD" w:rsidRDefault="00A11C44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C3A83" w:rsidRPr="004555BD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законодательством, б</w:t>
      </w:r>
      <w:r w:rsidR="0023150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юджет </w:t>
      </w:r>
      <w:r w:rsidR="00DE3A5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>«Катангский район»</w:t>
      </w:r>
      <w:r w:rsidR="00DE3A5F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Бюджет МО «Катангский район»)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B93" w:rsidRPr="004555BD">
        <w:rPr>
          <w:rFonts w:ascii="Times New Roman" w:eastAsia="Times New Roman" w:hAnsi="Times New Roman"/>
          <w:sz w:val="26"/>
          <w:szCs w:val="26"/>
          <w:lang w:eastAsia="ru-RU"/>
        </w:rPr>
        <w:t>формирует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ся на трехлетний бюджетный цикл, что</w:t>
      </w:r>
      <w:r w:rsidR="00D6148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стабильность и </w:t>
      </w:r>
      <w:r w:rsidR="00D6148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предсказуемость развития бюджетной системы 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  <w:r w:rsidR="00DE3A5F"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884E0F5" w14:textId="5D76F8BB" w:rsidR="00E03EC6" w:rsidRPr="004555BD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параметры бюджета 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на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232460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</w:t>
      </w:r>
      <w:r w:rsidR="00721654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4576" w:rsidRPr="004555BD">
        <w:rPr>
          <w:rFonts w:ascii="Times New Roman" w:eastAsia="Times New Roman" w:hAnsi="Times New Roman"/>
          <w:sz w:val="26"/>
          <w:szCs w:val="26"/>
          <w:lang w:eastAsia="ru-RU"/>
        </w:rPr>
        <w:t>представлены в таблице 1.</w:t>
      </w:r>
    </w:p>
    <w:p w14:paraId="6CB6DAF6" w14:textId="77777777" w:rsidR="000E5733" w:rsidRPr="004555BD" w:rsidRDefault="000E5733" w:rsidP="007E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FB05E7" w14:textId="316B3B14" w:rsidR="003B4DBA" w:rsidRPr="004555BD" w:rsidRDefault="00FD4576" w:rsidP="003B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1. Основные параметры бюджета 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на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 </w:t>
      </w:r>
    </w:p>
    <w:p w14:paraId="621E568B" w14:textId="77777777" w:rsidR="003B4DBA" w:rsidRPr="0040604D" w:rsidRDefault="00775613" w:rsidP="003B4DBA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40604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5753C" w:rsidRPr="0040604D">
        <w:rPr>
          <w:rFonts w:ascii="Times New Roman" w:eastAsia="Times New Roman" w:hAnsi="Times New Roman"/>
          <w:szCs w:val="28"/>
          <w:lang w:eastAsia="ru-RU"/>
        </w:rPr>
        <w:t>(</w:t>
      </w:r>
      <w:r w:rsidR="00DE3A5F" w:rsidRPr="0040604D">
        <w:rPr>
          <w:rFonts w:ascii="Times New Roman" w:eastAsia="Times New Roman" w:hAnsi="Times New Roman"/>
          <w:szCs w:val="28"/>
          <w:lang w:eastAsia="ru-RU"/>
        </w:rPr>
        <w:t xml:space="preserve">тыс. </w:t>
      </w:r>
      <w:r w:rsidR="00E03EC6" w:rsidRPr="0040604D">
        <w:rPr>
          <w:rFonts w:ascii="Times New Roman" w:eastAsia="Times New Roman" w:hAnsi="Times New Roman"/>
          <w:szCs w:val="28"/>
          <w:lang w:eastAsia="ru-RU"/>
        </w:rPr>
        <w:t>рублей</w:t>
      </w:r>
      <w:r w:rsidR="00C5753C" w:rsidRPr="0040604D">
        <w:rPr>
          <w:rFonts w:ascii="Times New Roman" w:eastAsia="Times New Roman" w:hAnsi="Times New Roman"/>
          <w:szCs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1"/>
        <w:gridCol w:w="1525"/>
        <w:gridCol w:w="1529"/>
        <w:gridCol w:w="1483"/>
      </w:tblGrid>
      <w:tr w:rsidR="00407A1C" w:rsidRPr="0040604D" w14:paraId="302FDF65" w14:textId="77777777" w:rsidTr="001649D0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F45A" w14:textId="77777777" w:rsidR="001649D0" w:rsidRPr="0040604D" w:rsidRDefault="0016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0314" w14:textId="43340EBC" w:rsidR="001649D0" w:rsidRPr="0040604D" w:rsidRDefault="001649D0" w:rsidP="003B4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4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7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DCB2" w14:textId="358DAB51" w:rsidR="001649D0" w:rsidRPr="0040604D" w:rsidRDefault="001649D0" w:rsidP="00407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7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EFA" w14:textId="60197B0C" w:rsidR="001649D0" w:rsidRPr="0040604D" w:rsidRDefault="001649D0" w:rsidP="00407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7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7A1C" w:rsidRPr="0040604D" w14:paraId="683741AF" w14:textId="77777777" w:rsidTr="00EA4D99">
        <w:trPr>
          <w:trHeight w:val="2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F9D" w14:textId="77777777" w:rsidR="00407A1C" w:rsidRPr="00A34A4F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Доходы, </w:t>
            </w: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  <w:r w:rsidRPr="00A3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4D2C" w14:textId="1D2758CC" w:rsidR="00407A1C" w:rsidRPr="000E7B5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E7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87 508</w:t>
            </w: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7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13B" w14:textId="5A676700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602 348,3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2E1" w14:textId="20E7DC45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586 071,0</w:t>
            </w:r>
          </w:p>
        </w:tc>
      </w:tr>
      <w:tr w:rsidR="00407A1C" w:rsidRPr="0040604D" w14:paraId="11EB1D60" w14:textId="77777777" w:rsidTr="00EA4D99">
        <w:trPr>
          <w:trHeight w:val="288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F83" w14:textId="77777777" w:rsidR="00407A1C" w:rsidRPr="00A34A4F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8E82" w14:textId="401CA9FE" w:rsidR="00407A1C" w:rsidRPr="000E7B59" w:rsidRDefault="000E7B59" w:rsidP="004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229 544.7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FABA" w14:textId="743FDD42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229 449,5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81D2" w14:textId="482233E1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205 356,4</w:t>
            </w:r>
          </w:p>
        </w:tc>
      </w:tr>
      <w:tr w:rsidR="00407A1C" w:rsidRPr="0040604D" w14:paraId="0D74E1BB" w14:textId="77777777" w:rsidTr="00EA4D99">
        <w:trPr>
          <w:trHeight w:val="384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550" w14:textId="77777777" w:rsidR="00407A1C" w:rsidRPr="00A34A4F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E2B2" w14:textId="500D6C84" w:rsidR="00407A1C" w:rsidRPr="00EA4D99" w:rsidRDefault="00407A1C" w:rsidP="004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357 963,3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AF30" w14:textId="5C734152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372 898,8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D30" w14:textId="5DC237A0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380 714,6</w:t>
            </w:r>
          </w:p>
        </w:tc>
      </w:tr>
      <w:tr w:rsidR="00407A1C" w:rsidRPr="0040604D" w14:paraId="3BE48BFE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DDC" w14:textId="77777777" w:rsidR="00407A1C" w:rsidRPr="00A34A4F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Расходы,</w:t>
            </w: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2356" w14:textId="0359E3E1" w:rsidR="00407A1C" w:rsidRPr="00EA4D99" w:rsidRDefault="00466734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588 661,9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8217" w14:textId="438C99E2" w:rsidR="00407A1C" w:rsidRPr="00EA4D99" w:rsidRDefault="00FF6C5A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611 909,8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A31F" w14:textId="64BD8101" w:rsidR="00407A1C" w:rsidRPr="00EA4D99" w:rsidRDefault="00FF6C5A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606 108,6</w:t>
            </w:r>
          </w:p>
        </w:tc>
      </w:tr>
      <w:tr w:rsidR="00407A1C" w:rsidRPr="0040604D" w14:paraId="35068166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DCC" w14:textId="77777777" w:rsidR="00407A1C" w:rsidRPr="0040604D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1A0">
              <w:rPr>
                <w:rFonts w:ascii="Times New Roman" w:eastAsia="Times New Roman" w:hAnsi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42BB" w14:textId="15EC4D89" w:rsidR="00407A1C" w:rsidRPr="00EA4D99" w:rsidRDefault="00466734" w:rsidP="004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359 196,2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827" w14:textId="4FAE3BD5" w:rsidR="00407A1C" w:rsidRPr="00EA4D99" w:rsidRDefault="00FF6C5A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382 460,5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A2B3" w14:textId="12679A8E" w:rsidR="00407A1C" w:rsidRPr="00EA4D99" w:rsidRDefault="00FF6C5A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400 752,2</w:t>
            </w:r>
          </w:p>
        </w:tc>
      </w:tr>
      <w:tr w:rsidR="00407A1C" w:rsidRPr="0040604D" w14:paraId="232CC45C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EDC3" w14:textId="77777777" w:rsidR="00407A1C" w:rsidRPr="0040604D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1A0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расходы, источником финансового обеспечения которых являются целевые межбюджетные трансферты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2529" w14:textId="312647C9" w:rsidR="00407A1C" w:rsidRPr="00EA4D99" w:rsidRDefault="00466734" w:rsidP="004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229 544,7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6F23" w14:textId="3D59F681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229 449,5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5201" w14:textId="5EAFF2C2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205 356,4</w:t>
            </w:r>
          </w:p>
        </w:tc>
      </w:tr>
      <w:tr w:rsidR="00407A1C" w:rsidRPr="0040604D" w14:paraId="6680F471" w14:textId="77777777" w:rsidTr="00EA4D99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8A7" w14:textId="7287B614" w:rsidR="00EE43BC" w:rsidRPr="0040604D" w:rsidRDefault="0018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E43BC" w:rsidRPr="0040604D">
              <w:rPr>
                <w:rFonts w:ascii="Times New Roman" w:eastAsia="Times New Roman" w:hAnsi="Times New Roman"/>
                <w:sz w:val="24"/>
                <w:szCs w:val="24"/>
              </w:rPr>
              <w:t>словно утвержденные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703B" w14:textId="77777777" w:rsidR="00EE43BC" w:rsidRPr="00EA4D99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ECD" w14:textId="36E054C3" w:rsidR="00EE43BC" w:rsidRPr="00EA4D99" w:rsidRDefault="00FF6C5A" w:rsidP="0006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9 561,5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B05F" w14:textId="3978FF7A" w:rsidR="00EE43BC" w:rsidRPr="00EA4D99" w:rsidRDefault="00FF6C5A" w:rsidP="00D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20 037,6</w:t>
            </w:r>
          </w:p>
        </w:tc>
      </w:tr>
      <w:tr w:rsidR="00407A1C" w:rsidRPr="0040604D" w14:paraId="73B94B77" w14:textId="77777777" w:rsidTr="00EA4D99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B46" w14:textId="1710364D" w:rsidR="00EE43BC" w:rsidRPr="0040604D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Дефицит (-), про</w:t>
            </w:r>
            <w:r w:rsidR="00EE43BC"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фицит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1FAC" w14:textId="1879FF90" w:rsidR="00EE43BC" w:rsidRPr="00EA4D99" w:rsidRDefault="00466734" w:rsidP="00FF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-1 153,9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CB0D" w14:textId="2EED7206" w:rsidR="00EE43BC" w:rsidRPr="00EA4D99" w:rsidRDefault="00F97E5B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FF6C5A"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9 561,5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2B9" w14:textId="663C1869" w:rsidR="00EE43BC" w:rsidRPr="00EA4D99" w:rsidRDefault="00F97E5B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FF6C5A"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20 037,6</w:t>
            </w:r>
          </w:p>
        </w:tc>
      </w:tr>
      <w:tr w:rsidR="00407A1C" w:rsidRPr="0040604D" w14:paraId="0322BCB4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029A" w14:textId="77777777" w:rsidR="00EE43BC" w:rsidRPr="0040604D" w:rsidRDefault="00EE43BC" w:rsidP="0059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96DA" w14:textId="190F63B8" w:rsidR="00EE43BC" w:rsidRPr="00EA4D99" w:rsidRDefault="00E40225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66734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F8EC" w14:textId="77777777" w:rsidR="00EE43BC" w:rsidRPr="00EA4D99" w:rsidRDefault="00E40225" w:rsidP="0006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3366" w14:textId="77777777" w:rsidR="00EE43BC" w:rsidRPr="00EA4D99" w:rsidRDefault="00E40225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07A1C" w:rsidRPr="0040604D" w14:paraId="12920009" w14:textId="77777777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767" w14:textId="77777777" w:rsidR="00EE43BC" w:rsidRPr="0040604D" w:rsidRDefault="00EE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Верхний предел государственного долга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D53C" w14:textId="2D669244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40225" w:rsidRPr="00EA4D99">
              <w:rPr>
                <w:rFonts w:ascii="Times New Roman" w:eastAsia="Times New Roman" w:hAnsi="Times New Roman"/>
                <w:sz w:val="24"/>
                <w:szCs w:val="24"/>
              </w:rPr>
              <w:t xml:space="preserve"> 079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2EF8" w14:textId="08F9199C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9 561,5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C792" w14:textId="3FCF7A41" w:rsidR="00EE43BC" w:rsidRPr="00EA4D99" w:rsidRDefault="00FF6C5A" w:rsidP="00F3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20 037,6</w:t>
            </w:r>
          </w:p>
        </w:tc>
      </w:tr>
      <w:tr w:rsidR="00407A1C" w:rsidRPr="0040604D" w14:paraId="5BA23F9A" w14:textId="77777777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480" w14:textId="77777777" w:rsidR="00EE43BC" w:rsidRPr="0040604D" w:rsidRDefault="00EE43BC" w:rsidP="007C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Уровень государственного долга, (% 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040F" w14:textId="1D2C0AFE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12E" w14:textId="16A23C40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39B" w14:textId="13579350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24D82C91" w14:textId="77777777" w:rsidR="004555BD" w:rsidRDefault="004555BD" w:rsidP="00283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EDF2B" w14:textId="7ED0A1B2" w:rsidR="00283D36" w:rsidRPr="004555BD" w:rsidRDefault="00283D36" w:rsidP="00283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 и материалы, представляемые в соответствии со статьей </w:t>
      </w:r>
      <w:r w:rsidR="00EA4D99" w:rsidRPr="004555BD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Думы МО «Катангский район» от 21 июня 2016 года </w:t>
      </w:r>
      <w:r w:rsidR="007C2A84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№2/5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положения о бюджетном процессе в МО «Катангский район»</w:t>
      </w:r>
      <w:r w:rsidR="00EA4D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ред. от 30.06.2021 №2/7)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одновременно с проектом решения Думы МО «Катангский район» «О  бюджете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МО «Катангский район» </w:t>
      </w:r>
      <w:r w:rsidR="00F336EB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336E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336E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336E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 прилагаются.</w:t>
      </w:r>
    </w:p>
    <w:p w14:paraId="0A7467DD" w14:textId="77777777" w:rsidR="00FE43D3" w:rsidRPr="004555BD" w:rsidRDefault="00FE43D3" w:rsidP="00BC5EE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002D9B2D" w14:textId="3E4A3AEB" w:rsidR="00F97E5B" w:rsidRPr="004555BD" w:rsidRDefault="00F97E5B" w:rsidP="00F97E5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ДОХОДЫ БЮДЖЕТА</w:t>
      </w:r>
      <w:r w:rsidRPr="004555B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МО «КАТАНГСКИЙ РАЙОН»</w:t>
      </w:r>
    </w:p>
    <w:p w14:paraId="70A6C94A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498501B6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При подготовке прогноза доходов на 2022 год и на плановый период 2023 и 2024 годов учтены положения </w:t>
      </w:r>
      <w:bookmarkStart w:id="1" w:name="_Hlk495839098"/>
      <w:r w:rsidRPr="004555BD">
        <w:rPr>
          <w:rFonts w:ascii="Times New Roman" w:hAnsi="Times New Roman"/>
          <w:sz w:val="26"/>
          <w:szCs w:val="26"/>
        </w:rPr>
        <w:t xml:space="preserve">проекта </w:t>
      </w:r>
      <w:bookmarkEnd w:id="1"/>
      <w:r w:rsidRPr="004555BD">
        <w:rPr>
          <w:rFonts w:ascii="Times New Roman" w:hAnsi="Times New Roman"/>
          <w:sz w:val="26"/>
          <w:szCs w:val="26"/>
        </w:rPr>
        <w:t xml:space="preserve">Закона Иркутской области «Об областном бюджете </w:t>
      </w:r>
      <w:bookmarkStart w:id="2" w:name="_Hlk87537433"/>
      <w:r w:rsidRPr="004555BD">
        <w:rPr>
          <w:rFonts w:ascii="Times New Roman" w:hAnsi="Times New Roman"/>
          <w:sz w:val="26"/>
          <w:szCs w:val="26"/>
        </w:rPr>
        <w:t>на 2022 год и на плановый период 2023 и 2024 годов</w:t>
      </w:r>
      <w:bookmarkEnd w:id="2"/>
      <w:r w:rsidRPr="004555BD">
        <w:rPr>
          <w:rFonts w:ascii="Times New Roman" w:hAnsi="Times New Roman"/>
          <w:sz w:val="26"/>
          <w:szCs w:val="26"/>
        </w:rPr>
        <w:t>».</w:t>
      </w:r>
    </w:p>
    <w:p w14:paraId="0E9F85A7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В соответствии со статьей 169 Бюджетного кодекса Российской Федерации составление доходной части проекта бюджета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 «Катангский район» </w:t>
      </w:r>
      <w:r w:rsidRPr="004555BD">
        <w:rPr>
          <w:rFonts w:ascii="Times New Roman" w:hAnsi="Times New Roman"/>
          <w:sz w:val="26"/>
          <w:szCs w:val="26"/>
        </w:rPr>
        <w:t xml:space="preserve">на 2022 год и на плановый период 2023 и 2024 годов осуществлялось на основе Прогноза </w:t>
      </w:r>
      <w:r w:rsidRPr="004555BD">
        <w:rPr>
          <w:rFonts w:ascii="Times New Roman" w:hAnsi="Times New Roman"/>
          <w:sz w:val="26"/>
          <w:szCs w:val="26"/>
        </w:rPr>
        <w:br/>
        <w:t xml:space="preserve">социально-экономического развития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 «Катангский район» </w:t>
      </w:r>
      <w:r w:rsidRPr="004555BD">
        <w:rPr>
          <w:rFonts w:ascii="Times New Roman" w:hAnsi="Times New Roman"/>
          <w:sz w:val="26"/>
          <w:szCs w:val="26"/>
        </w:rPr>
        <w:t>на 2022 год и на плановый период 2023 и 2024 годов.</w:t>
      </w:r>
    </w:p>
    <w:p w14:paraId="18D705AD" w14:textId="543D3665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Так, в соответствии с бюджетными полномочиями, установленными статьей 160.1 Бюджетного кодекса Российской Федерации, всеми главными администраторами доходов бюджета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>были утверждены методики прогнозирования поступлений доходов в бюджет.</w:t>
      </w:r>
    </w:p>
    <w:p w14:paraId="0C01858F" w14:textId="21635194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Общими требованиями к таким методикам, установленными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определено, что в случаях, когда прогноз соответствующего вида доходов предусматривает использование показателей социально-экономического развития, расчет планового показателя главным администратором доходов должен основываться на показателях базового варианта прогноза социально-экономического развития субъекта Российской Федерации.</w:t>
      </w:r>
    </w:p>
    <w:p w14:paraId="316D6BE8" w14:textId="6DC0089F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Рассчитанные таким образом прогнозы поступлений доходов в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>в соответствии со статьей 160.1 Бюджетного кодекса Российской Федерации были представлены главными администраторами доходов в финансовый орган МО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«Катангский район»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4DD17C85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Учитывая, что ответственность за исполнение бюджета и всех принятых бюджетных обязательств возложена на Мэра  и Администрацию муниципального образования «Катангский район» прогнозы главных администраторов доходов бюджета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 «Катангский район» </w:t>
      </w:r>
      <w:r w:rsidRPr="004555BD">
        <w:rPr>
          <w:rFonts w:ascii="Times New Roman" w:hAnsi="Times New Roman"/>
          <w:sz w:val="26"/>
          <w:szCs w:val="26"/>
        </w:rPr>
        <w:t>на этапе формирования его проекта могут быть при наличии на то оснований скорректированы как в сторону увеличения, так и в сторону уменьшения.</w:t>
      </w:r>
    </w:p>
    <w:p w14:paraId="78A2E0F7" w14:textId="74B5ADCB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>Основные характеристики прогноза поступлений доходов в бюджет</w:t>
      </w:r>
      <w:r w:rsidRPr="004555BD">
        <w:rPr>
          <w:b w:val="0"/>
          <w:color w:val="000000"/>
          <w:sz w:val="26"/>
          <w:szCs w:val="26"/>
        </w:rPr>
        <w:t xml:space="preserve"> МО «Катангский район»</w:t>
      </w:r>
      <w:r w:rsidRPr="004555BD">
        <w:rPr>
          <w:color w:val="000000"/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>на</w:t>
      </w:r>
      <w:r w:rsidRPr="004555BD">
        <w:rPr>
          <w:b w:val="0"/>
          <w:bCs/>
          <w:sz w:val="26"/>
          <w:szCs w:val="26"/>
        </w:rPr>
        <w:t xml:space="preserve"> 2022 год и на плановый период 2023 и 2024 годов</w:t>
      </w:r>
      <w:r w:rsidRPr="004555BD">
        <w:rPr>
          <w:b w:val="0"/>
          <w:sz w:val="26"/>
          <w:szCs w:val="26"/>
        </w:rPr>
        <w:t xml:space="preserve"> с учетом изменения бюджетного и налогового законодательства представлены в таблице 2.</w:t>
      </w:r>
    </w:p>
    <w:p w14:paraId="1B9D5E17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</w:p>
    <w:p w14:paraId="7F2F63A8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Таблица 2. Показатели поступления доходов </w:t>
      </w:r>
    </w:p>
    <w:p w14:paraId="580F12ED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в бюджет </w:t>
      </w:r>
      <w:r w:rsidRPr="004555BD">
        <w:rPr>
          <w:b w:val="0"/>
          <w:color w:val="000000"/>
          <w:sz w:val="26"/>
          <w:szCs w:val="26"/>
        </w:rPr>
        <w:t>МО «Катангский район»</w:t>
      </w:r>
      <w:r w:rsidRPr="004555BD">
        <w:rPr>
          <w:color w:val="000000"/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 xml:space="preserve">в 2020–2024 годах с учетом изменения </w:t>
      </w:r>
    </w:p>
    <w:p w14:paraId="5555E158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>бюджетного и налогового законодательства</w:t>
      </w:r>
    </w:p>
    <w:p w14:paraId="5AB2BF3D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</w:p>
    <w:p w14:paraId="165F71F0" w14:textId="1AEF194A" w:rsidR="00F97E5B" w:rsidRPr="004555BD" w:rsidRDefault="00F97E5B" w:rsidP="00F97E5B">
      <w:pPr>
        <w:pStyle w:val="aa"/>
        <w:ind w:firstLine="0"/>
        <w:jc w:val="right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 (тыс. рублей)</w:t>
      </w:r>
    </w:p>
    <w:tbl>
      <w:tblPr>
        <w:tblW w:w="5300" w:type="pct"/>
        <w:tblInd w:w="-459" w:type="dxa"/>
        <w:tblLook w:val="04A0" w:firstRow="1" w:lastRow="0" w:firstColumn="1" w:lastColumn="0" w:noHBand="0" w:noVBand="1"/>
      </w:tblPr>
      <w:tblGrid>
        <w:gridCol w:w="1968"/>
        <w:gridCol w:w="1016"/>
        <w:gridCol w:w="1016"/>
        <w:gridCol w:w="819"/>
        <w:gridCol w:w="1016"/>
        <w:gridCol w:w="728"/>
        <w:gridCol w:w="1016"/>
        <w:gridCol w:w="843"/>
        <w:gridCol w:w="1016"/>
        <w:gridCol w:w="768"/>
      </w:tblGrid>
      <w:tr w:rsidR="00F97E5B" w14:paraId="4DA1F96C" w14:textId="77777777" w:rsidTr="00F97E5B">
        <w:trPr>
          <w:trHeight w:val="20"/>
          <w:tblHeader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2B171" w14:textId="77777777" w:rsidR="00F97E5B" w:rsidRDefault="00F97E5B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312B" w14:textId="77777777" w:rsidR="00F97E5B" w:rsidRDefault="00F97E5B">
            <w:pPr>
              <w:ind w:left="-124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2020г., факт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EE6D" w14:textId="77777777" w:rsidR="00F97E5B" w:rsidRDefault="00F97E5B">
            <w:pPr>
              <w:ind w:left="-123"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г., оценка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A117" w14:textId="77777777" w:rsidR="00F97E5B" w:rsidRDefault="00F97E5B">
            <w:pPr>
              <w:ind w:left="-100" w:right="-9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D2DB" w14:textId="77777777" w:rsidR="00F97E5B" w:rsidRDefault="00F97E5B">
            <w:pPr>
              <w:ind w:left="-96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 г., прогноз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2427" w14:textId="77777777" w:rsidR="00F97E5B" w:rsidRDefault="00F97E5B">
            <w:pPr>
              <w:ind w:left="-108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CB1A" w14:textId="77777777" w:rsidR="00F97E5B" w:rsidRDefault="00F97E5B">
            <w:pPr>
              <w:ind w:left="-110" w:right="-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 г., прогноз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839B" w14:textId="77777777" w:rsidR="00F97E5B" w:rsidRDefault="00F97E5B">
            <w:pPr>
              <w:ind w:left="-108" w:right="-1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9F02" w14:textId="77777777" w:rsidR="00F97E5B" w:rsidRDefault="00F97E5B">
            <w:pPr>
              <w:ind w:left="-107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 г., прогноз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F76D" w14:textId="77777777" w:rsidR="00F97E5B" w:rsidRDefault="00F97E5B">
            <w:pPr>
              <w:ind w:left="-89" w:righ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F97E5B" w14:paraId="533E443C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827E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08F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332 231,9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F857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341 410,8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05EF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83FA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357 963,3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0C14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1149" w14:textId="77777777" w:rsidR="00F97E5B" w:rsidRDefault="00F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372 898,8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1C4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7657" w14:textId="77777777" w:rsidR="00F97E5B" w:rsidRDefault="00F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380 714,6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C48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102,1</w:t>
            </w:r>
          </w:p>
        </w:tc>
      </w:tr>
      <w:tr w:rsidR="00F97E5B" w14:paraId="37EC7EB8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869E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Безвозмездные поступления, </w:t>
            </w:r>
          </w:p>
          <w:p w14:paraId="3F55268D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них: в том числе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02E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277 807,5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03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266 982,8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860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4B6C2E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  <w:p w14:paraId="5081D0D0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ACEE" w14:textId="1072B0B4" w:rsidR="00F97E5B" w:rsidRPr="000E7B59" w:rsidRDefault="000E7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229 544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F97B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A1C769" w14:textId="42B13B98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0E7B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14:paraId="0A6BFE49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E2A6" w14:textId="77777777" w:rsidR="00F97E5B" w:rsidRDefault="00F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229 449,5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F9FB" w14:textId="41D90E7E" w:rsidR="00F97E5B" w:rsidRDefault="00521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FFCE" w14:textId="77777777" w:rsidR="00F97E5B" w:rsidRDefault="00F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205 356,4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51B5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89,35</w:t>
            </w:r>
          </w:p>
        </w:tc>
      </w:tr>
      <w:tr w:rsidR="00F97E5B" w14:paraId="28A706B5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3D40" w14:textId="4AED109B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8830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18 639,5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6DDDB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2 970,3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A1DC3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84776A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  <w:p w14:paraId="4EE5F27A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40B68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93D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3B29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5E5F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517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B5E5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7E5B" w14:paraId="5AD0D5A4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128A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на осуществления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083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D9FF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DB897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DF631B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14:paraId="6CE9CC29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3A6D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749,6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596B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0DF9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11 634,4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FAD3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1552,1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43BF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E117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F97E5B" w14:paraId="1395365C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EDD1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1A5A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610 039,4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FEE1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608 393,6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D20A5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A60BD" w14:textId="7841F75C" w:rsidR="00F97E5B" w:rsidRPr="000E7B59" w:rsidRDefault="000E7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587</w:t>
            </w:r>
            <w:r w:rsidR="005213A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508</w:t>
            </w:r>
            <w:r w:rsidR="005213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03CF" w14:textId="6FE6CDBC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0E7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0E7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EB2D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602 348,3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E20F" w14:textId="55D40538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5213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5213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2294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586 071,0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6C65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</w:tbl>
    <w:p w14:paraId="5E532ED4" w14:textId="77777777" w:rsidR="00F97E5B" w:rsidRDefault="00F97E5B" w:rsidP="00F97E5B">
      <w:pPr>
        <w:pStyle w:val="aa"/>
        <w:ind w:firstLine="0"/>
        <w:jc w:val="right"/>
        <w:rPr>
          <w:b w:val="0"/>
          <w:color w:val="FF0000"/>
          <w:sz w:val="10"/>
          <w:szCs w:val="10"/>
        </w:rPr>
      </w:pPr>
    </w:p>
    <w:p w14:paraId="383858D4" w14:textId="77777777" w:rsidR="00F97E5B" w:rsidRDefault="00F97E5B" w:rsidP="00F97E5B">
      <w:pPr>
        <w:pStyle w:val="aa"/>
        <w:ind w:firstLine="709"/>
        <w:rPr>
          <w:b w:val="0"/>
          <w:szCs w:val="28"/>
        </w:rPr>
      </w:pPr>
    </w:p>
    <w:p w14:paraId="64B48060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Ожидаемое исполнение доходной части бюджета </w:t>
      </w:r>
      <w:r w:rsidRPr="004555BD">
        <w:rPr>
          <w:b w:val="0"/>
          <w:color w:val="000000"/>
          <w:sz w:val="26"/>
          <w:szCs w:val="26"/>
        </w:rPr>
        <w:t>МО «Катангский район»</w:t>
      </w:r>
      <w:r w:rsidRPr="004555BD">
        <w:rPr>
          <w:b w:val="0"/>
          <w:sz w:val="26"/>
          <w:szCs w:val="26"/>
        </w:rPr>
        <w:t xml:space="preserve"> на 2021 год составляет 608 393,6 тыс. рублей, что на 1 645,8 тыс. рублей (- 0,3%) меньше объема поступлений 2020 года, налоговые и неналоговые доходы составят 341 410,8 тыс.</w:t>
      </w:r>
      <w:r w:rsidRPr="004555BD">
        <w:rPr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 xml:space="preserve"> рублей, что на 9 178,9 тыс. рублей (+ 2,8%) больше объема поступлений 2020 года. </w:t>
      </w:r>
    </w:p>
    <w:p w14:paraId="7BADC806" w14:textId="3F0DBF08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Доходы бюджета МО «Катангский район»  на 2022 год запланированы в сумме </w:t>
      </w:r>
      <w:r w:rsidRPr="004555BD">
        <w:rPr>
          <w:b w:val="0"/>
          <w:color w:val="000000"/>
          <w:sz w:val="26"/>
          <w:szCs w:val="26"/>
        </w:rPr>
        <w:t>5</w:t>
      </w:r>
      <w:r w:rsidR="000E7B59">
        <w:rPr>
          <w:b w:val="0"/>
          <w:color w:val="000000"/>
          <w:sz w:val="26"/>
          <w:szCs w:val="26"/>
        </w:rPr>
        <w:t>87</w:t>
      </w:r>
      <w:r w:rsidRPr="004555BD">
        <w:rPr>
          <w:b w:val="0"/>
          <w:color w:val="000000"/>
          <w:sz w:val="26"/>
          <w:szCs w:val="26"/>
        </w:rPr>
        <w:t xml:space="preserve"> </w:t>
      </w:r>
      <w:r w:rsidR="000E7B59">
        <w:rPr>
          <w:b w:val="0"/>
          <w:color w:val="000000"/>
          <w:sz w:val="26"/>
          <w:szCs w:val="26"/>
        </w:rPr>
        <w:t>508</w:t>
      </w:r>
      <w:r w:rsidRPr="004555BD">
        <w:rPr>
          <w:b w:val="0"/>
          <w:color w:val="000000"/>
          <w:sz w:val="26"/>
          <w:szCs w:val="26"/>
        </w:rPr>
        <w:t>,</w:t>
      </w:r>
      <w:r w:rsidR="000E7B59">
        <w:rPr>
          <w:b w:val="0"/>
          <w:color w:val="000000"/>
          <w:sz w:val="26"/>
          <w:szCs w:val="26"/>
        </w:rPr>
        <w:t>0</w:t>
      </w:r>
      <w:r w:rsidRPr="004555BD">
        <w:rPr>
          <w:b w:val="0"/>
          <w:color w:val="000000"/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 xml:space="preserve">тыс. рублей, что на </w:t>
      </w:r>
      <w:r w:rsidR="000E7B59">
        <w:rPr>
          <w:b w:val="0"/>
          <w:sz w:val="26"/>
          <w:szCs w:val="26"/>
        </w:rPr>
        <w:t>20</w:t>
      </w:r>
      <w:r w:rsidR="005213AD">
        <w:rPr>
          <w:b w:val="0"/>
          <w:sz w:val="26"/>
          <w:szCs w:val="26"/>
        </w:rPr>
        <w:t xml:space="preserve"> </w:t>
      </w:r>
      <w:r w:rsidR="000E7B59">
        <w:rPr>
          <w:b w:val="0"/>
          <w:sz w:val="26"/>
          <w:szCs w:val="26"/>
        </w:rPr>
        <w:t>885</w:t>
      </w:r>
      <w:r w:rsidRPr="004555BD">
        <w:rPr>
          <w:b w:val="0"/>
          <w:sz w:val="26"/>
          <w:szCs w:val="26"/>
        </w:rPr>
        <w:t>,</w:t>
      </w:r>
      <w:r w:rsidR="005213AD">
        <w:rPr>
          <w:b w:val="0"/>
          <w:sz w:val="26"/>
          <w:szCs w:val="26"/>
        </w:rPr>
        <w:t>6</w:t>
      </w:r>
      <w:r w:rsidRPr="004555BD">
        <w:rPr>
          <w:b w:val="0"/>
          <w:sz w:val="26"/>
          <w:szCs w:val="26"/>
        </w:rPr>
        <w:t> тыс. рублей (- </w:t>
      </w:r>
      <w:r w:rsidR="005213AD">
        <w:rPr>
          <w:b w:val="0"/>
          <w:sz w:val="26"/>
          <w:szCs w:val="26"/>
        </w:rPr>
        <w:t>3</w:t>
      </w:r>
      <w:r w:rsidRPr="004555BD">
        <w:rPr>
          <w:b w:val="0"/>
          <w:sz w:val="26"/>
          <w:szCs w:val="26"/>
        </w:rPr>
        <w:t>,</w:t>
      </w:r>
      <w:r w:rsidR="005213AD">
        <w:rPr>
          <w:b w:val="0"/>
          <w:sz w:val="26"/>
          <w:szCs w:val="26"/>
        </w:rPr>
        <w:t>4</w:t>
      </w:r>
      <w:r w:rsidRPr="004555BD">
        <w:rPr>
          <w:b w:val="0"/>
          <w:sz w:val="26"/>
          <w:szCs w:val="26"/>
        </w:rPr>
        <w:t>%) меньше ожидаемых поступлений 2021 года, налоговые и неналоговые доходы составят 357 963,3 тыс. рублей, что на 16 552,5 тыс. рублей (+ 4,8%)  выше ожидаемого поступления в 2021 году.</w:t>
      </w:r>
    </w:p>
    <w:p w14:paraId="54DF96A0" w14:textId="48DBBE68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В 2023 году доходы бюджета МО «Катангский район» прогнозируются в объеме </w:t>
      </w:r>
      <w:r w:rsidRPr="004555BD">
        <w:rPr>
          <w:b w:val="0"/>
          <w:color w:val="000000"/>
          <w:sz w:val="26"/>
          <w:szCs w:val="26"/>
        </w:rPr>
        <w:t xml:space="preserve">602 348,3 тыс. </w:t>
      </w:r>
      <w:r w:rsidRPr="004555BD">
        <w:rPr>
          <w:b w:val="0"/>
          <w:sz w:val="26"/>
          <w:szCs w:val="26"/>
        </w:rPr>
        <w:t xml:space="preserve">рублей, что на </w:t>
      </w:r>
      <w:r w:rsidR="005213AD">
        <w:rPr>
          <w:b w:val="0"/>
          <w:sz w:val="26"/>
          <w:szCs w:val="26"/>
        </w:rPr>
        <w:t>14 840,3</w:t>
      </w:r>
      <w:r w:rsidRPr="004555BD">
        <w:rPr>
          <w:b w:val="0"/>
          <w:sz w:val="26"/>
          <w:szCs w:val="26"/>
        </w:rPr>
        <w:t xml:space="preserve"> тыс. рублей (+ </w:t>
      </w:r>
      <w:r w:rsidR="005213AD">
        <w:rPr>
          <w:b w:val="0"/>
          <w:sz w:val="26"/>
          <w:szCs w:val="26"/>
        </w:rPr>
        <w:t>2</w:t>
      </w:r>
      <w:r w:rsidRPr="004555BD">
        <w:rPr>
          <w:b w:val="0"/>
          <w:sz w:val="26"/>
          <w:szCs w:val="26"/>
        </w:rPr>
        <w:t>,</w:t>
      </w:r>
      <w:r w:rsidR="005213AD">
        <w:rPr>
          <w:b w:val="0"/>
          <w:sz w:val="26"/>
          <w:szCs w:val="26"/>
        </w:rPr>
        <w:t>5</w:t>
      </w:r>
      <w:r w:rsidRPr="004555BD">
        <w:rPr>
          <w:b w:val="0"/>
          <w:sz w:val="26"/>
          <w:szCs w:val="26"/>
        </w:rPr>
        <w:t>%) больше прогнозируемого поступления в 2022 году, налоговые и неналоговые доходы составят 372 898,8 тыс. рублей, что на 14 935,5 тыс. рублей (+ 4,2%) больше прогнозируемых поступлений 2022 года.</w:t>
      </w:r>
    </w:p>
    <w:p w14:paraId="20A24920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В 2024 году доходы бюджета МО «Катангский район» прогнозируются в объеме </w:t>
      </w:r>
      <w:r w:rsidRPr="004555BD">
        <w:rPr>
          <w:b w:val="0"/>
          <w:color w:val="000000"/>
          <w:sz w:val="26"/>
          <w:szCs w:val="26"/>
        </w:rPr>
        <w:t xml:space="preserve">586 071,0 тыс.  </w:t>
      </w:r>
      <w:r w:rsidRPr="004555BD">
        <w:rPr>
          <w:b w:val="0"/>
          <w:sz w:val="26"/>
          <w:szCs w:val="26"/>
        </w:rPr>
        <w:t xml:space="preserve">рублей, что на 16 277,3 тыс. рублей (- 2,7%) меньше прогнозируемого поступления в 2023 году, налоговые и неналоговые доходы составят </w:t>
      </w:r>
      <w:r w:rsidRPr="004555BD">
        <w:rPr>
          <w:b w:val="0"/>
          <w:bCs/>
          <w:sz w:val="26"/>
          <w:szCs w:val="26"/>
        </w:rPr>
        <w:t>380 714,6</w:t>
      </w:r>
      <w:r w:rsidRPr="004555BD">
        <w:rPr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>тыс.</w:t>
      </w:r>
      <w:r w:rsidRPr="004555BD">
        <w:rPr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>рублей, что на 7 815,8 тыс. рублей (+ 1,1%) больше прогнозируемых поступлений 2023 года.</w:t>
      </w:r>
    </w:p>
    <w:p w14:paraId="0CDC11AB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</w:p>
    <w:p w14:paraId="719E73B5" w14:textId="3926D26C" w:rsidR="00F97E5B" w:rsidRPr="004555BD" w:rsidRDefault="00F97E5B" w:rsidP="00F97E5B">
      <w:pPr>
        <w:pStyle w:val="aa"/>
        <w:ind w:firstLine="0"/>
        <w:jc w:val="center"/>
        <w:rPr>
          <w:b w:val="0"/>
          <w:smallCaps/>
          <w:sz w:val="26"/>
          <w:szCs w:val="26"/>
        </w:rPr>
      </w:pPr>
      <w:r w:rsidRPr="004555BD">
        <w:rPr>
          <w:b w:val="0"/>
          <w:smallCaps/>
          <w:sz w:val="26"/>
          <w:szCs w:val="26"/>
        </w:rPr>
        <w:t>ОСОБЕННОСТИ ПЛАНИРОВАНИЯ ПОСТУПЛЕНИЙ В БЮДЖЕТ МО «КАТАНГСКИЙ РАЙОН» ПО ОТДЕЛЬНЫМ ВИДАМ ДОХОДОВ</w:t>
      </w:r>
    </w:p>
    <w:p w14:paraId="66C9D57F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</w:p>
    <w:p w14:paraId="681054F5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Налог на доходы физических лиц</w:t>
      </w:r>
    </w:p>
    <w:p w14:paraId="55982374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lastRenderedPageBreak/>
        <w:t xml:space="preserve">Поступления налога на доходы физических лиц на 2022 год и на плановый период 2023 и 2024 годов запланированы на основе прогнозируемого темпа роста в 2022-2024 годах источника основной части налога – фонда заработной платы по прогнозу социально-экономического развития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 xml:space="preserve">и соответствуют прогнозу главного администратора – УФНС по Иркутской области.  </w:t>
      </w:r>
    </w:p>
    <w:p w14:paraId="4894FAEC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Прогноз поступлений налога в бюджет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МО  «Катангский район» </w:t>
      </w:r>
      <w:r w:rsidRPr="004555BD">
        <w:rPr>
          <w:rFonts w:ascii="Times New Roman" w:hAnsi="Times New Roman"/>
          <w:sz w:val="26"/>
          <w:szCs w:val="26"/>
        </w:rPr>
        <w:t xml:space="preserve"> в 2022 году составляет 310 775,1 тыс. рублей (+ 5,5% к ожидаемым поступлениям 2021 года), в 2023 году – 324 258,4  тыс. рублей (+ 4,3% к прогнозируемым поступлениям 2022 года), в 2024 году – 329 873,7 тыс. рублей (+ 1,7% к прогнозируемым поступлениям 2023 года).</w:t>
      </w:r>
    </w:p>
    <w:p w14:paraId="166B0B26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977B5C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555BD">
        <w:rPr>
          <w:rFonts w:ascii="Times New Roman" w:hAnsi="Times New Roman"/>
          <w:b/>
          <w:i/>
          <w:sz w:val="26"/>
          <w:szCs w:val="26"/>
        </w:rPr>
        <w:t>Акцизы на подакцизные товары</w:t>
      </w:r>
    </w:p>
    <w:p w14:paraId="05644800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Общая сумма поступления акцизов по подакцизным товарам (продукции), производимым на территории Российской Федерации, в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на  </w:t>
      </w:r>
      <w:r w:rsidRPr="004555BD">
        <w:rPr>
          <w:rFonts w:ascii="Times New Roman" w:hAnsi="Times New Roman"/>
          <w:sz w:val="26"/>
          <w:szCs w:val="26"/>
        </w:rPr>
        <w:t xml:space="preserve">2022 год планируется в размере 22 101,8 тыс. рублей (на +4,2% к прогнозируемым поступлений 2021 года), на 2023 год планируется в сумме 23 168,2 тыс. рублей (+ 4,8% к прогнозируемым поступлениям 2022 года), на 2024 год планируется в сумме 25 023,0 тыс. рублей (+ 8,0% к прогнозируемым поступлениям 2023 года).  </w:t>
      </w:r>
    </w:p>
    <w:p w14:paraId="732AD7BA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При расчете прогноза акцизов по подакцизным товарам (продукции), производимым на территории Российской Федерации, учтены положения проекта закона об областном бюджете  в части установления нормативов распределения среди  муниципальных образований  Иркутской области доходов от уплаты распределяемых по так называемой котловой схеме акцизов.</w:t>
      </w:r>
    </w:p>
    <w:p w14:paraId="4DA2EF75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</w:p>
    <w:p w14:paraId="7EC94320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Налог, взимаемый в связи с применением упрощенной системы налогообложения</w:t>
      </w:r>
    </w:p>
    <w:p w14:paraId="0A212AD9" w14:textId="2ABEE96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Прогноз поступления налога, взимаемого в связи с применением упрощенной системы налогообложения, на 2022 год и на плановый период 2023 и 2024 годов осуществлен на основе ожидаемых поступлений 202</w:t>
      </w:r>
      <w:r w:rsidR="004154ED" w:rsidRPr="004555BD">
        <w:rPr>
          <w:rFonts w:ascii="Times New Roman" w:hAnsi="Times New Roman"/>
          <w:sz w:val="26"/>
          <w:szCs w:val="26"/>
        </w:rPr>
        <w:t>1</w:t>
      </w:r>
      <w:r w:rsidRPr="004555BD">
        <w:rPr>
          <w:rFonts w:ascii="Times New Roman" w:hAnsi="Times New Roman"/>
          <w:sz w:val="26"/>
          <w:szCs w:val="26"/>
        </w:rPr>
        <w:t xml:space="preserve"> года  главного администратора – УФНС по Иркутской области.</w:t>
      </w:r>
    </w:p>
    <w:p w14:paraId="35758300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Общий объем поступлений запланирован на 2022 год в объеме </w:t>
      </w:r>
      <w:r w:rsidRPr="004555BD">
        <w:rPr>
          <w:rFonts w:ascii="Times New Roman" w:hAnsi="Times New Roman"/>
          <w:sz w:val="26"/>
          <w:szCs w:val="26"/>
        </w:rPr>
        <w:br/>
        <w:t>4 965,0 тыс. рублей (+ 4,8% к ожидаемым поступлениям 2021 года). В 2023 году налог, взимаемый в связи с применением упрощенной системы налогообложения, запланирован в объеме 5 020, тыс. рублей (+ 1,1% к прогнозируемым поступлениям 2022 года), в 2024 году –  5 065,0 тыс. рублей (+ 0,9% к прогнозируемым поступлениям 2023 года).</w:t>
      </w:r>
    </w:p>
    <w:p w14:paraId="782F6B5E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целях компенсации снижения доходов местных бюджетов от налогообложения субъектов малого и среднего предпринимательства (далее - МСП), обусловленного отменой с 1 января 2021 года единого налога на вмененный доходов проектом закона Иркутской области «О внесении изменений в Закон Иркутской области «О межбюджетных трансфертах и нормативах отчислений доходов в местные бюджеты» установлены  дифференцированные нормативы  отчислений в местные бюджеты от УСН. При расчете таких нормативов могут учитываться показатели статистической и налоговой отчетности, а также иные показатели, характеризующие деятельность субъектов МСП.</w:t>
      </w:r>
    </w:p>
    <w:p w14:paraId="4E36E338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Налог, взимаемый в связи с применением патентной системы налогообложения</w:t>
      </w:r>
    </w:p>
    <w:p w14:paraId="2AB7AEBE" w14:textId="7BA51F1E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Прогноз поступления налога, взимаемого в связи с применением </w:t>
      </w:r>
      <w:r w:rsidRPr="004555BD">
        <w:rPr>
          <w:rFonts w:ascii="Times New Roman" w:hAnsi="Times New Roman"/>
          <w:iCs/>
          <w:sz w:val="26"/>
          <w:szCs w:val="26"/>
        </w:rPr>
        <w:t>патентной</w:t>
      </w:r>
      <w:r w:rsidRPr="004555BD">
        <w:rPr>
          <w:rFonts w:ascii="Times New Roman" w:hAnsi="Times New Roman"/>
          <w:sz w:val="26"/>
          <w:szCs w:val="26"/>
        </w:rPr>
        <w:t xml:space="preserve"> системы налогообложения, на 2022 год и на плановый период 2023 и 2024 годов </w:t>
      </w:r>
      <w:r w:rsidRPr="004555BD">
        <w:rPr>
          <w:rFonts w:ascii="Times New Roman" w:hAnsi="Times New Roman"/>
          <w:sz w:val="26"/>
          <w:szCs w:val="26"/>
        </w:rPr>
        <w:lastRenderedPageBreak/>
        <w:t>осуществлен на основе ожидаемых поступлений 202</w:t>
      </w:r>
      <w:r w:rsidR="004154ED" w:rsidRPr="004555BD">
        <w:rPr>
          <w:rFonts w:ascii="Times New Roman" w:hAnsi="Times New Roman"/>
          <w:sz w:val="26"/>
          <w:szCs w:val="26"/>
        </w:rPr>
        <w:t>1</w:t>
      </w:r>
      <w:r w:rsidRPr="004555BD">
        <w:rPr>
          <w:rFonts w:ascii="Times New Roman" w:hAnsi="Times New Roman"/>
          <w:sz w:val="26"/>
          <w:szCs w:val="26"/>
        </w:rPr>
        <w:t xml:space="preserve"> года  главного администратора – УФНС по Иркутской области.</w:t>
      </w:r>
    </w:p>
    <w:p w14:paraId="63B768DE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Общий объем поступлений запланирован на 2022 год в объеме </w:t>
      </w:r>
      <w:r w:rsidRPr="004555BD">
        <w:rPr>
          <w:rFonts w:ascii="Times New Roman" w:hAnsi="Times New Roman"/>
          <w:sz w:val="26"/>
          <w:szCs w:val="26"/>
        </w:rPr>
        <w:br/>
        <w:t>650,0 тыс. рублей (+ 8,3% к ожидаемым поступлениям 2021 года). В 2023 году налог, взимаемый в связи с применением патентной системы налогообложения, запланирован в объеме 700, тыс. рублей (+ 7,7 к прогнозируемым поступлениям 2022 года), в 2024 году –  750,0 тыс. рублей (+ 7,1% к прогнозируемым поступлениям 2023 года).</w:t>
      </w:r>
    </w:p>
    <w:p w14:paraId="0E3EEF2F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</w:p>
    <w:p w14:paraId="1F6A8C15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</w:p>
    <w:p w14:paraId="558CC956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Государственная пошлина</w:t>
      </w:r>
    </w:p>
    <w:p w14:paraId="1514BB91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Расчет прогноза поступления государственной пошлины в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>осуществлен на основании информации главных администраторов доходов и составляет в 2022 году 300,0 тыс. рублей (+ 1,6% к уровню 2021 года), в 2023 году – 310,0 тыс. рублей ( +  3,3% к уровню 2022 года), в 2024 году – 320,0 тыс.  рублей (+3,2% к уровню 2023 года).</w:t>
      </w:r>
    </w:p>
    <w:p w14:paraId="576C5C8D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2773DF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Неналоговые доходы</w:t>
      </w:r>
    </w:p>
    <w:p w14:paraId="4B952C5F" w14:textId="7A3D5428" w:rsidR="00F97E5B" w:rsidRPr="004555BD" w:rsidRDefault="00F97E5B" w:rsidP="00F97E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Прогноз поступления неналоговых доходов в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МО «Катангский район»</w:t>
      </w:r>
      <w:r w:rsidRPr="004555BD">
        <w:rPr>
          <w:rFonts w:ascii="Times New Roman" w:hAnsi="Times New Roman"/>
          <w:sz w:val="26"/>
          <w:szCs w:val="26"/>
        </w:rPr>
        <w:t xml:space="preserve"> на основании информации главных администраторов доходов о прогнозируемом поступлении доходов и составляет в 2022 году – 19 171,4 тыс.  рублей (-1,0 % к уровню 2021 года), в 2023 году -19 442,2 тыс.  рублей (+1,4 к уровню 2022 года), в 2024 году – 19 683,0 тыс. рублей (+1,2 % к уровню 2023 года). </w:t>
      </w:r>
    </w:p>
    <w:p w14:paraId="34D403D1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4A33175" w14:textId="77777777" w:rsidR="00F97E5B" w:rsidRPr="004555BD" w:rsidRDefault="00F97E5B" w:rsidP="00F97E5B">
      <w:pPr>
        <w:pStyle w:val="aa"/>
        <w:ind w:firstLine="0"/>
        <w:jc w:val="center"/>
        <w:rPr>
          <w:b w:val="0"/>
          <w:smallCaps/>
          <w:sz w:val="26"/>
          <w:szCs w:val="26"/>
        </w:rPr>
      </w:pPr>
      <w:r w:rsidRPr="004555BD">
        <w:rPr>
          <w:b w:val="0"/>
          <w:smallCaps/>
          <w:sz w:val="26"/>
          <w:szCs w:val="26"/>
        </w:rPr>
        <w:t>БЕЗВОЗМЕЗДНЫЕ ПЕРЕЧИСЛЕНИЯ</w:t>
      </w:r>
    </w:p>
    <w:p w14:paraId="43AD28C0" w14:textId="77777777" w:rsidR="00F97E5B" w:rsidRPr="004555BD" w:rsidRDefault="00F97E5B" w:rsidP="00F97E5B">
      <w:pPr>
        <w:pStyle w:val="aa"/>
        <w:ind w:firstLine="0"/>
        <w:rPr>
          <w:b w:val="0"/>
          <w:smallCaps/>
          <w:sz w:val="26"/>
          <w:szCs w:val="26"/>
        </w:rPr>
      </w:pPr>
    </w:p>
    <w:p w14:paraId="65012005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Объем безвозмездных поступлений в 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>на 2022 год и на плановый период 2023 и 2024 годов представлен в таблице 3 и определен в соответствии с проектом Закона Иркутской области «Об областном бюджете на 2022 год и на плановый период 2023 и 2024 годов».</w:t>
      </w:r>
    </w:p>
    <w:p w14:paraId="77364A96" w14:textId="77777777" w:rsidR="00F97E5B" w:rsidRPr="004555BD" w:rsidRDefault="00F97E5B" w:rsidP="00F97E5B">
      <w:pPr>
        <w:pStyle w:val="aa"/>
        <w:ind w:firstLine="709"/>
        <w:rPr>
          <w:b w:val="0"/>
          <w:snapToGrid w:val="0"/>
          <w:sz w:val="26"/>
          <w:szCs w:val="26"/>
        </w:rPr>
      </w:pPr>
    </w:p>
    <w:p w14:paraId="78D85679" w14:textId="77777777" w:rsidR="00F97E5B" w:rsidRPr="004555BD" w:rsidRDefault="00F97E5B" w:rsidP="00F97E5B">
      <w:pPr>
        <w:pStyle w:val="aa"/>
        <w:ind w:firstLine="0"/>
        <w:jc w:val="center"/>
        <w:rPr>
          <w:b w:val="0"/>
          <w:snapToGrid w:val="0"/>
          <w:sz w:val="26"/>
          <w:szCs w:val="26"/>
        </w:rPr>
      </w:pPr>
      <w:r w:rsidRPr="004555BD">
        <w:rPr>
          <w:b w:val="0"/>
          <w:snapToGrid w:val="0"/>
          <w:sz w:val="26"/>
          <w:szCs w:val="26"/>
        </w:rPr>
        <w:t xml:space="preserve">Таблица 3. Объем безвозмездных поступлений </w:t>
      </w:r>
    </w:p>
    <w:p w14:paraId="1E7A5513" w14:textId="77777777" w:rsidR="00F97E5B" w:rsidRPr="004555BD" w:rsidRDefault="00F97E5B" w:rsidP="00F97E5B">
      <w:pPr>
        <w:pStyle w:val="aa"/>
        <w:ind w:firstLine="0"/>
        <w:jc w:val="center"/>
        <w:rPr>
          <w:b w:val="0"/>
          <w:snapToGrid w:val="0"/>
          <w:sz w:val="26"/>
          <w:szCs w:val="26"/>
        </w:rPr>
      </w:pPr>
      <w:r w:rsidRPr="004555BD">
        <w:rPr>
          <w:b w:val="0"/>
          <w:snapToGrid w:val="0"/>
          <w:sz w:val="26"/>
          <w:szCs w:val="26"/>
        </w:rPr>
        <w:t xml:space="preserve">в бюджет </w:t>
      </w:r>
      <w:r w:rsidRPr="004555BD">
        <w:rPr>
          <w:b w:val="0"/>
          <w:sz w:val="26"/>
          <w:szCs w:val="26"/>
        </w:rPr>
        <w:t xml:space="preserve">МО «Катангский район» </w:t>
      </w:r>
      <w:r w:rsidRPr="004555BD">
        <w:rPr>
          <w:b w:val="0"/>
          <w:snapToGrid w:val="0"/>
          <w:sz w:val="26"/>
          <w:szCs w:val="26"/>
        </w:rPr>
        <w:t>в 2020 – 2024 годах</w:t>
      </w:r>
    </w:p>
    <w:p w14:paraId="561E69C8" w14:textId="77777777" w:rsidR="00F97E5B" w:rsidRDefault="00F97E5B" w:rsidP="00F97E5B">
      <w:pPr>
        <w:pStyle w:val="aa"/>
        <w:ind w:firstLine="0"/>
        <w:jc w:val="right"/>
        <w:rPr>
          <w:b w:val="0"/>
          <w:snapToGrid w:val="0"/>
          <w:szCs w:val="28"/>
        </w:rPr>
      </w:pPr>
      <w:r>
        <w:rPr>
          <w:b w:val="0"/>
          <w:sz w:val="24"/>
          <w:szCs w:val="24"/>
        </w:rPr>
        <w:t>(тыс. рублей)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21"/>
        <w:gridCol w:w="992"/>
        <w:gridCol w:w="993"/>
        <w:gridCol w:w="1134"/>
        <w:gridCol w:w="850"/>
        <w:gridCol w:w="963"/>
        <w:gridCol w:w="708"/>
        <w:gridCol w:w="992"/>
        <w:gridCol w:w="710"/>
      </w:tblGrid>
      <w:tr w:rsidR="00F97E5B" w14:paraId="0558CFE8" w14:textId="77777777" w:rsidTr="00F97E5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FA1E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3048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2020г.,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CC3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2021г., 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402D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E84C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2022 г.,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F4E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A90D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2023 г., прогноз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021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E4B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2024 г., прогноз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6A45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F97E5B" w14:paraId="6350756A" w14:textId="77777777" w:rsidTr="00F97E5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AE0E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Дотация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2075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18 639,5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0C62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EA50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C950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027E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5C23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85AD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2B52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AAB9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7E5B" w14:paraId="7C2000F4" w14:textId="77777777" w:rsidTr="00F97E5B">
        <w:trPr>
          <w:trHeight w:val="3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72A" w14:textId="77777777" w:rsidR="00F97E5B" w:rsidRPr="00F97E5B" w:rsidRDefault="00F97E5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E00F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68 430,0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9C6E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50 141,6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00E6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8B2" w14:textId="0A3597C8" w:rsidR="00F97E5B" w:rsidRDefault="005213AD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54 220,5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594C" w14:textId="724E0C77" w:rsidR="00F97E5B" w:rsidRDefault="005213AD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9E9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31 541,1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FD6B" w14:textId="65A7BF5A" w:rsidR="00F97E5B" w:rsidRDefault="005213AD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A952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18 442,7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7227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F97E5B" w14:paraId="2F4BB986" w14:textId="77777777" w:rsidTr="00F97E5B">
        <w:trPr>
          <w:trHeight w:val="24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9915" w14:textId="77777777" w:rsidR="00F97E5B" w:rsidRPr="00F97E5B" w:rsidRDefault="00F97E5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B1FD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186 921,7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1E62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181 411,5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8FF6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9B98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169 950,1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E24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A8CF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192 534,2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F3E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49C0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181 539,5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513F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F97E5B" w14:paraId="498F0DEE" w14:textId="77777777" w:rsidTr="00F97E5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924" w14:textId="77777777" w:rsidR="00F97E5B" w:rsidRPr="00F97E5B" w:rsidRDefault="00F97E5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безвозмездные поступления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0D49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5 905,4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A719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17655468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29 752,6</w:t>
            </w:r>
          </w:p>
          <w:p w14:paraId="2563E9F5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1D1F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DBD1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3E0DCB8D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5 347,2</w:t>
            </w:r>
          </w:p>
          <w:p w14:paraId="3246A5E8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8C46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ED9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36EB175F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5 347,2</w:t>
            </w:r>
          </w:p>
          <w:p w14:paraId="73EC577F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7FC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216A4A56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100,0</w:t>
            </w:r>
          </w:p>
          <w:p w14:paraId="05B28C47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AC3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292722CF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5 347,2</w:t>
            </w:r>
          </w:p>
          <w:p w14:paraId="5D6F1C1D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783A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97E5B" w14:paraId="7EBD419C" w14:textId="77777777" w:rsidTr="00466734">
        <w:trPr>
          <w:trHeight w:val="2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76D2" w14:textId="77777777" w:rsidR="00466734" w:rsidRDefault="00466734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0163A88" w14:textId="129373DC" w:rsidR="00F97E5B" w:rsidRPr="00466734" w:rsidRDefault="00466734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296E" w14:textId="77777777" w:rsidR="00F97E5B" w:rsidRPr="00466734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4667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291 221,3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3961" w14:textId="77777777" w:rsidR="00F97E5B" w:rsidRPr="00466734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4667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266 982,8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FE9A" w14:textId="77777777" w:rsidR="00F97E5B" w:rsidRPr="00466734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80734E8" w14:textId="77777777" w:rsidR="00F97E5B" w:rsidRPr="00466734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  <w:p w14:paraId="578595C0" w14:textId="77777777" w:rsidR="00F97E5B" w:rsidRPr="00466734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CF0D" w14:textId="602DA6A3" w:rsidR="00F97E5B" w:rsidRPr="00466734" w:rsidRDefault="005213AD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466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229 544,7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F992" w14:textId="77777777" w:rsidR="00F97E5B" w:rsidRPr="00466734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D181354" w14:textId="17312804" w:rsidR="00F97E5B" w:rsidRPr="00466734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5213AD" w:rsidRPr="00466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66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213AD" w:rsidRPr="00466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14:paraId="4FAA6DAF" w14:textId="77777777" w:rsidR="00F97E5B" w:rsidRPr="00466734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A944" w14:textId="77777777" w:rsidR="00F97E5B" w:rsidRPr="00466734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4667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229 449,5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759C" w14:textId="4476E4B0" w:rsidR="00F97E5B" w:rsidRPr="00466734" w:rsidRDefault="005213AD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466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CEB2" w14:textId="77777777" w:rsidR="00F97E5B" w:rsidRPr="00466734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4667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205 356,4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413C" w14:textId="77777777" w:rsidR="00F97E5B" w:rsidRPr="00466734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4667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</w:tbl>
    <w:p w14:paraId="3D8AF1F6" w14:textId="77777777" w:rsidR="00F97E5B" w:rsidRDefault="00F97E5B" w:rsidP="00F97E5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671409D" w14:textId="7919A8CC" w:rsidR="00F97E5B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Прогнозируемые в 2022 году безвозмездные поступления составят </w:t>
      </w:r>
      <w:r w:rsidRPr="004555BD">
        <w:rPr>
          <w:rFonts w:ascii="Times New Roman" w:hAnsi="Times New Roman"/>
          <w:sz w:val="26"/>
          <w:szCs w:val="26"/>
        </w:rPr>
        <w:br/>
      </w:r>
      <w:r w:rsidR="005213AD">
        <w:rPr>
          <w:rFonts w:ascii="Times New Roman" w:hAnsi="Times New Roman"/>
          <w:sz w:val="26"/>
          <w:szCs w:val="26"/>
        </w:rPr>
        <w:t>229 544,7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="00532CBB">
        <w:rPr>
          <w:rFonts w:ascii="Times New Roman" w:hAnsi="Times New Roman"/>
          <w:sz w:val="26"/>
          <w:szCs w:val="26"/>
        </w:rPr>
        <w:t xml:space="preserve">тыс. </w:t>
      </w:r>
      <w:r w:rsidRPr="004555BD">
        <w:rPr>
          <w:rFonts w:ascii="Times New Roman" w:hAnsi="Times New Roman"/>
          <w:sz w:val="26"/>
          <w:szCs w:val="26"/>
        </w:rPr>
        <w:t xml:space="preserve">рублей, что на </w:t>
      </w:r>
      <w:r w:rsidR="005213AD">
        <w:rPr>
          <w:rFonts w:ascii="Times New Roman" w:hAnsi="Times New Roman"/>
          <w:sz w:val="26"/>
          <w:szCs w:val="26"/>
        </w:rPr>
        <w:t>37 438,1</w:t>
      </w:r>
      <w:r w:rsidRPr="004555BD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5213AD">
        <w:rPr>
          <w:rFonts w:ascii="Times New Roman" w:hAnsi="Times New Roman"/>
          <w:sz w:val="26"/>
          <w:szCs w:val="26"/>
        </w:rPr>
        <w:t>14</w:t>
      </w:r>
      <w:r w:rsidRPr="004555BD">
        <w:rPr>
          <w:rFonts w:ascii="Times New Roman" w:hAnsi="Times New Roman"/>
          <w:sz w:val="26"/>
          <w:szCs w:val="26"/>
        </w:rPr>
        <w:t>,</w:t>
      </w:r>
      <w:r w:rsidR="005213AD">
        <w:rPr>
          <w:rFonts w:ascii="Times New Roman" w:hAnsi="Times New Roman"/>
          <w:sz w:val="26"/>
          <w:szCs w:val="26"/>
        </w:rPr>
        <w:t xml:space="preserve">1 </w:t>
      </w:r>
      <w:r w:rsidRPr="004555BD">
        <w:rPr>
          <w:rFonts w:ascii="Times New Roman" w:hAnsi="Times New Roman"/>
          <w:sz w:val="26"/>
          <w:szCs w:val="26"/>
        </w:rPr>
        <w:t>% ниже ожидаемого уровня 2020 года; в 2023 год</w:t>
      </w:r>
      <w:r w:rsidR="00466734">
        <w:rPr>
          <w:rFonts w:ascii="Times New Roman" w:hAnsi="Times New Roman"/>
          <w:sz w:val="26"/>
          <w:szCs w:val="26"/>
        </w:rPr>
        <w:t>у</w:t>
      </w:r>
      <w:r w:rsidRPr="004555BD">
        <w:rPr>
          <w:rFonts w:ascii="Times New Roman" w:hAnsi="Times New Roman"/>
          <w:sz w:val="26"/>
          <w:szCs w:val="26"/>
        </w:rPr>
        <w:t xml:space="preserve"> в размере 229 449,5  тыс. рублей (</w:t>
      </w:r>
      <w:r w:rsidR="005213AD">
        <w:rPr>
          <w:rFonts w:ascii="Times New Roman" w:hAnsi="Times New Roman"/>
          <w:sz w:val="26"/>
          <w:szCs w:val="26"/>
        </w:rPr>
        <w:t>-0</w:t>
      </w:r>
      <w:r w:rsidRPr="004555BD">
        <w:rPr>
          <w:rFonts w:ascii="Times New Roman" w:hAnsi="Times New Roman"/>
          <w:sz w:val="26"/>
          <w:szCs w:val="26"/>
        </w:rPr>
        <w:t>,</w:t>
      </w:r>
      <w:r w:rsidR="005213AD">
        <w:rPr>
          <w:rFonts w:ascii="Times New Roman" w:hAnsi="Times New Roman"/>
          <w:sz w:val="26"/>
          <w:szCs w:val="26"/>
        </w:rPr>
        <w:t>1</w:t>
      </w:r>
      <w:r w:rsidRPr="004555BD">
        <w:rPr>
          <w:rFonts w:ascii="Times New Roman" w:hAnsi="Times New Roman"/>
          <w:sz w:val="26"/>
          <w:szCs w:val="26"/>
        </w:rPr>
        <w:t>% к уровню 2022 года</w:t>
      </w:r>
      <w:r w:rsidR="00466734">
        <w:rPr>
          <w:rFonts w:ascii="Times New Roman" w:hAnsi="Times New Roman"/>
          <w:sz w:val="26"/>
          <w:szCs w:val="26"/>
        </w:rPr>
        <w:t xml:space="preserve">), в 2024 году в размере </w:t>
      </w:r>
      <w:r w:rsidRPr="004555BD">
        <w:rPr>
          <w:rFonts w:ascii="Times New Roman" w:hAnsi="Times New Roman"/>
          <w:sz w:val="26"/>
          <w:szCs w:val="26"/>
        </w:rPr>
        <w:t>205 356,4 тыс. рублей (- 10,5% к уровню 2023 года)</w:t>
      </w:r>
      <w:r w:rsidR="00466734">
        <w:rPr>
          <w:rFonts w:ascii="Times New Roman" w:hAnsi="Times New Roman"/>
          <w:sz w:val="26"/>
          <w:szCs w:val="26"/>
        </w:rPr>
        <w:t>.</w:t>
      </w:r>
    </w:p>
    <w:p w14:paraId="773F874B" w14:textId="77777777" w:rsidR="00466734" w:rsidRPr="004555BD" w:rsidRDefault="00466734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A63C87" w14:textId="77777777" w:rsidR="000747B8" w:rsidRPr="004555BD" w:rsidRDefault="000747B8" w:rsidP="000747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361827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u w:val="single"/>
          <w:lang w:eastAsia="x-none"/>
        </w:rPr>
      </w:pPr>
      <w:r w:rsidRPr="004555BD">
        <w:rPr>
          <w:rFonts w:ascii="Times New Roman" w:eastAsia="Times New Roman" w:hAnsi="Times New Roman"/>
          <w:bCs/>
          <w:sz w:val="26"/>
          <w:szCs w:val="26"/>
          <w:u w:val="single"/>
          <w:lang w:val="x-none" w:eastAsia="x-none"/>
        </w:rPr>
        <w:lastRenderedPageBreak/>
        <w:t>РАСХОДЫ</w:t>
      </w:r>
      <w:r w:rsidRPr="004555BD">
        <w:rPr>
          <w:rFonts w:ascii="Times New Roman" w:eastAsia="Times New Roman" w:hAnsi="Times New Roman"/>
          <w:bCs/>
          <w:sz w:val="26"/>
          <w:szCs w:val="26"/>
          <w:u w:val="single"/>
          <w:lang w:eastAsia="x-none"/>
        </w:rPr>
        <w:t xml:space="preserve"> </w:t>
      </w:r>
      <w:r w:rsidRPr="004555BD">
        <w:rPr>
          <w:rFonts w:ascii="Times New Roman" w:eastAsia="Times New Roman" w:hAnsi="Times New Roman"/>
          <w:bCs/>
          <w:sz w:val="26"/>
          <w:szCs w:val="26"/>
          <w:u w:val="single"/>
          <w:lang w:val="x-none" w:eastAsia="x-none"/>
        </w:rPr>
        <w:t>БЮДЖЕТА</w:t>
      </w:r>
      <w:r w:rsidRPr="004555BD">
        <w:rPr>
          <w:rFonts w:ascii="Times New Roman" w:eastAsia="Times New Roman" w:hAnsi="Times New Roman"/>
          <w:bCs/>
          <w:sz w:val="26"/>
          <w:szCs w:val="26"/>
          <w:u w:val="single"/>
          <w:lang w:eastAsia="x-none"/>
        </w:rPr>
        <w:t xml:space="preserve"> МО «КАТАНГСКИЙ РАЙОН»</w:t>
      </w:r>
    </w:p>
    <w:p w14:paraId="71499AB5" w14:textId="77777777" w:rsidR="005D3A92" w:rsidRPr="004555BD" w:rsidRDefault="005D3A92" w:rsidP="005D3A9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2FC10C6A" w14:textId="22AC5335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Планирование бюджетных ассигнований бюджета МО «Катангский район» по расходам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осуществлялось с учетом единых подходов в соответствии с порядком и методикой планирования бюджетных ассигнований бюджета, утвержденными приказом финансового управления администрации муниципального образования</w:t>
      </w:r>
      <w:r w:rsidR="00DB3B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«Катангский</w:t>
      </w:r>
      <w:r w:rsidR="00DB3B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район»</w:t>
      </w:r>
      <w:r w:rsidR="00DB3B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от 23 мая 2016 года № 23.</w:t>
      </w:r>
    </w:p>
    <w:p w14:paraId="1C05FF53" w14:textId="77E71B07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реализации приоритетных мероприятий муниципальных программ Катангского района, цели и задачи которых скоординированы с национальными проектами и стратегическими задачами Пятилетнего плана, финансирования первоочередных непрограммных направлений деятельности,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годов, в том числе между муниципальными программами Катангского района.</w:t>
      </w:r>
    </w:p>
    <w:p w14:paraId="2D20CB33" w14:textId="77777777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Расходная часть </w:t>
      </w:r>
      <w:r w:rsidRPr="004555BD">
        <w:rPr>
          <w:rFonts w:ascii="Times New Roman" w:hAnsi="Times New Roman"/>
          <w:sz w:val="26"/>
          <w:szCs w:val="26"/>
        </w:rPr>
        <w:t xml:space="preserve">бюджета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МО «Катангский район» сформирована на основе муниципальных программ Катангского района.</w:t>
      </w:r>
    </w:p>
    <w:p w14:paraId="5E203845" w14:textId="77777777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Катангского района действует 7 муниципальных программ, в рамках которых будут реализованы основные приоритеты социально–экономического развития района. </w:t>
      </w:r>
    </w:p>
    <w:p w14:paraId="151B999E" w14:textId="6E9BC17E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_Hlk58922150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на реализацию муниципальных программ Катангского района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 </w:t>
      </w:r>
      <w:r w:rsidR="006F50C6">
        <w:rPr>
          <w:rFonts w:ascii="Times New Roman" w:eastAsia="Times New Roman" w:hAnsi="Times New Roman"/>
          <w:sz w:val="26"/>
          <w:szCs w:val="26"/>
          <w:lang w:eastAsia="ru-RU"/>
        </w:rPr>
        <w:t>578 920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(98,</w:t>
      </w:r>
      <w:r w:rsidR="006F50C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 в обще</w:t>
      </w:r>
      <w:r w:rsidR="00532CB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сумме расходов),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591</w:t>
      </w:r>
      <w:r w:rsidR="0025319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606,9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(98,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%),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 год 5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="00253197" w:rsidRPr="004555B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008</w:t>
      </w:r>
      <w:r w:rsidR="00253197" w:rsidRPr="004555BD">
        <w:rPr>
          <w:rFonts w:ascii="Times New Roman" w:eastAsia="Times New Roman" w:hAnsi="Times New Roman"/>
          <w:sz w:val="26"/>
          <w:szCs w:val="26"/>
          <w:lang w:eastAsia="ru-RU"/>
        </w:rPr>
        <w:t>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98,1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%).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83BC3"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83BC3"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5EE1011D" w14:textId="751F1DCD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Объем финансового обеспечения непрограммных направлений деятельности на 20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9 741,9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(1,</w:t>
      </w:r>
      <w:r w:rsidR="006F50C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%), на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10 741,4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(1,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%), на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063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(1,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%).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78F490A5" w14:textId="4AFE676E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 структуре расходов по-прежнему наибольший удельный вес занимают расходы на финансирование социальной сферы, в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– 6</w:t>
      </w:r>
      <w:r w:rsidR="008F66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 от общего объема расходов (</w:t>
      </w:r>
      <w:r w:rsidR="008F665E">
        <w:rPr>
          <w:rFonts w:ascii="Times New Roman" w:eastAsia="Times New Roman" w:hAnsi="Times New Roman"/>
          <w:sz w:val="26"/>
          <w:szCs w:val="26"/>
          <w:lang w:eastAsia="ru-RU"/>
        </w:rPr>
        <w:t>369 076,5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рублей), в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– </w:t>
      </w:r>
      <w:r w:rsidR="008F665E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 (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="008F66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5E">
        <w:rPr>
          <w:rFonts w:ascii="Times New Roman" w:eastAsia="Times New Roman" w:hAnsi="Times New Roman"/>
          <w:sz w:val="26"/>
          <w:szCs w:val="26"/>
          <w:lang w:eastAsia="ru-RU"/>
        </w:rPr>
        <w:t>764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рублей), в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8F665E">
        <w:rPr>
          <w:rFonts w:ascii="Times New Roman" w:eastAsia="Times New Roman" w:hAnsi="Times New Roman"/>
          <w:sz w:val="26"/>
          <w:szCs w:val="26"/>
          <w:lang w:eastAsia="ru-RU"/>
        </w:rPr>
        <w:t>61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общего объема расходов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8F665E">
        <w:rPr>
          <w:rFonts w:ascii="Times New Roman" w:eastAsia="Times New Roman" w:hAnsi="Times New Roman"/>
          <w:sz w:val="26"/>
          <w:szCs w:val="26"/>
          <w:lang w:eastAsia="ru-RU"/>
        </w:rPr>
        <w:t>366 812,1</w:t>
      </w:r>
      <w:bookmarkStart w:id="4" w:name="_GoBack"/>
      <w:bookmarkEnd w:id="4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рублей).</w:t>
      </w:r>
    </w:p>
    <w:p w14:paraId="595E0559" w14:textId="4ACCFB74" w:rsidR="005D3A92" w:rsidRPr="004555BD" w:rsidRDefault="005D3A92" w:rsidP="005D3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Объем бюджетных ассигнований на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годы, источником финансового обеспечения которых являются целевые межбюджетные трансферты из областного бюджета и бюджетов поселений, запланирован в соответствии с проектом областного бюджета и бюджетов поселений, на 20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22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год составит </w:t>
      </w:r>
      <w:r w:rsidR="006F50C6">
        <w:rPr>
          <w:rFonts w:ascii="Times New Roman" w:eastAsia="Times New Roman" w:hAnsi="Times New Roman"/>
          <w:sz w:val="26"/>
          <w:szCs w:val="26"/>
          <w:lang w:eastAsia="ru-RU"/>
        </w:rPr>
        <w:t>229 544,7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рублей (3</w:t>
      </w:r>
      <w:r w:rsidR="006F50C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 от общего объема расходов бюджета),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229 449,5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 (3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%),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205 356,4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 рублей (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%).</w:t>
      </w:r>
    </w:p>
    <w:bookmarkEnd w:id="3"/>
    <w:p w14:paraId="07000778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К основным ограничениям формирования расходной части бюджета необходимо отнести изменения налогового законодательства на федеральном и областном уровне и ограничения по размеру дефицита и уровня муниципального долга. </w:t>
      </w:r>
    </w:p>
    <w:p w14:paraId="272B3BCB" w14:textId="4839D898" w:rsidR="005D3A92" w:rsidRPr="004555BD" w:rsidRDefault="005D3A92" w:rsidP="005D3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Учитывая </w:t>
      </w:r>
      <w:r w:rsidR="00183BC3" w:rsidRPr="004555BD">
        <w:rPr>
          <w:rFonts w:ascii="Times New Roman" w:eastAsia="Times New Roman" w:hAnsi="Times New Roman"/>
          <w:sz w:val="26"/>
          <w:szCs w:val="26"/>
          <w:lang w:eastAsia="ru-RU"/>
        </w:rPr>
        <w:t>данные ограничения,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расходная часть проекта решения ориентирована на реализацию следующих приоритетных направлений:</w:t>
      </w:r>
    </w:p>
    <w:p w14:paraId="40A1B33D" w14:textId="38C64620" w:rsidR="005D3A92" w:rsidRPr="004555BD" w:rsidRDefault="005D3A92" w:rsidP="005D3A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1. Реализация Указов Президента Российской Федерации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br/>
        <w:t>от 7 мая 2012 года. В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 продолжается достижение всех целевых показателей по размерам заработной платы отдельным категориям работников, установленных «майскими» Указами Президента Российской Федерации 2012 года.</w:t>
      </w:r>
    </w:p>
    <w:p w14:paraId="1665F27F" w14:textId="77777777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2. В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ыполнение социальных обязательств перед населением. </w:t>
      </w:r>
    </w:p>
    <w:p w14:paraId="6014A29D" w14:textId="4ED90EE1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действующим бюджетным законодательством в общем объеме расходов районного бюджета на плановый период планируется утвердить условно утверждаемые расходы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сумме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9 561,5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сумме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3503" w:rsidRPr="004555BD">
        <w:rPr>
          <w:rFonts w:ascii="Times New Roman" w:hAnsi="Times New Roman"/>
          <w:sz w:val="26"/>
          <w:szCs w:val="26"/>
        </w:rPr>
        <w:lastRenderedPageBreak/>
        <w:t>20 037,6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14:paraId="12AF4EE2" w14:textId="5B6870D8" w:rsidR="005D3A92" w:rsidRPr="004555BD" w:rsidRDefault="005D3A92" w:rsidP="005D3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Общий объем расходов, распределенных по муниципальным программам и непрограммным направлениям деятельности составил на 202</w:t>
      </w:r>
      <w:r w:rsidR="009971D9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AA3503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586 505,1 тыс.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9971D9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AA3503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602 348,2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AA3503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586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071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A71F284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71978F" w14:textId="65F1B8FE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расходов районного бюджета на 202</w:t>
      </w:r>
      <w:r w:rsidR="00AA3503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AA3503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AA3503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 </w:t>
      </w:r>
    </w:p>
    <w:p w14:paraId="10D0081E" w14:textId="342361C1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Информация о бюджетных ассигнованиях районного бюджета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годы, в разрезе муниципальных программ и непрограммных направлений деятельности представлена в таблице 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7D41F19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B9BE66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Перечень муниципальных программ </w:t>
      </w:r>
    </w:p>
    <w:p w14:paraId="53CA315C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1662"/>
        <w:gridCol w:w="1527"/>
        <w:gridCol w:w="1527"/>
        <w:gridCol w:w="1483"/>
      </w:tblGrid>
      <w:tr w:rsidR="005D3A92" w:rsidRPr="0040604D" w14:paraId="2AECE810" w14:textId="77777777" w:rsidTr="00AA3503">
        <w:tc>
          <w:tcPr>
            <w:tcW w:w="1781" w:type="pct"/>
            <w:shd w:val="clear" w:color="auto" w:fill="auto"/>
            <w:vAlign w:val="center"/>
          </w:tcPr>
          <w:p w14:paraId="0ED47C41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8AF7753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E8156FC" w14:textId="52C393B7" w:rsidR="005D3A92" w:rsidRPr="0040604D" w:rsidRDefault="005D3A92" w:rsidP="00AA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3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2F2E55A" w14:textId="00A6C3C8" w:rsidR="005D3A92" w:rsidRPr="0040604D" w:rsidRDefault="005D3A92" w:rsidP="00AA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4B558570" w14:textId="6DC1185B" w:rsidR="005D3A92" w:rsidRPr="0040604D" w:rsidRDefault="005D3A92" w:rsidP="00AA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53197" w:rsidRPr="0040604D" w14:paraId="6C90A8CB" w14:textId="77777777" w:rsidTr="00AA3503">
        <w:tc>
          <w:tcPr>
            <w:tcW w:w="1781" w:type="pct"/>
            <w:shd w:val="clear" w:color="auto" w:fill="auto"/>
            <w:vAlign w:val="center"/>
          </w:tcPr>
          <w:p w14:paraId="5D8F8780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64E2399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93" w:type="pct"/>
            <w:shd w:val="clear" w:color="auto" w:fill="auto"/>
          </w:tcPr>
          <w:p w14:paraId="5EB88636" w14:textId="5E6501F1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286 624,6</w:t>
            </w:r>
          </w:p>
        </w:tc>
        <w:tc>
          <w:tcPr>
            <w:tcW w:w="793" w:type="pct"/>
            <w:shd w:val="clear" w:color="auto" w:fill="auto"/>
          </w:tcPr>
          <w:p w14:paraId="6801B974" w14:textId="32A17987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303 955,8</w:t>
            </w:r>
          </w:p>
        </w:tc>
        <w:tc>
          <w:tcPr>
            <w:tcW w:w="770" w:type="pct"/>
            <w:shd w:val="clear" w:color="auto" w:fill="auto"/>
          </w:tcPr>
          <w:p w14:paraId="2534904D" w14:textId="1C4DE007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305 744,4</w:t>
            </w:r>
          </w:p>
        </w:tc>
      </w:tr>
      <w:tr w:rsidR="00253197" w:rsidRPr="0040604D" w14:paraId="5CD41838" w14:textId="77777777" w:rsidTr="00183BC3">
        <w:tc>
          <w:tcPr>
            <w:tcW w:w="1781" w:type="pct"/>
            <w:shd w:val="clear" w:color="auto" w:fill="auto"/>
            <w:vAlign w:val="center"/>
          </w:tcPr>
          <w:p w14:paraId="04A87740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DF37D55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93" w:type="pct"/>
            <w:shd w:val="clear" w:color="auto" w:fill="auto"/>
          </w:tcPr>
          <w:p w14:paraId="62CFF883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C10BB" w14:textId="1352994E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49 059,8</w:t>
            </w:r>
          </w:p>
        </w:tc>
        <w:tc>
          <w:tcPr>
            <w:tcW w:w="793" w:type="pct"/>
            <w:shd w:val="clear" w:color="auto" w:fill="auto"/>
          </w:tcPr>
          <w:p w14:paraId="6FE6D09F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A8A28" w14:textId="5F7D95C0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51 433,0</w:t>
            </w:r>
          </w:p>
        </w:tc>
        <w:tc>
          <w:tcPr>
            <w:tcW w:w="770" w:type="pct"/>
            <w:shd w:val="clear" w:color="auto" w:fill="auto"/>
          </w:tcPr>
          <w:p w14:paraId="60B6C308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31187" w14:textId="04DE56DB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53 607,3</w:t>
            </w:r>
          </w:p>
        </w:tc>
      </w:tr>
      <w:tr w:rsidR="00253197" w:rsidRPr="0040604D" w14:paraId="336DC170" w14:textId="77777777" w:rsidTr="00183BC3">
        <w:tc>
          <w:tcPr>
            <w:tcW w:w="1781" w:type="pct"/>
            <w:shd w:val="clear" w:color="auto" w:fill="auto"/>
            <w:vAlign w:val="center"/>
          </w:tcPr>
          <w:p w14:paraId="4FB214AE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bookmarkStart w:id="5" w:name="_Hlk87604843"/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DD0261B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93" w:type="pct"/>
            <w:shd w:val="clear" w:color="auto" w:fill="auto"/>
          </w:tcPr>
          <w:p w14:paraId="5DF8B2D0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2E447" w14:textId="63F58B95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47 180,2</w:t>
            </w:r>
          </w:p>
        </w:tc>
        <w:tc>
          <w:tcPr>
            <w:tcW w:w="793" w:type="pct"/>
            <w:shd w:val="clear" w:color="auto" w:fill="auto"/>
          </w:tcPr>
          <w:p w14:paraId="3443B711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C450B" w14:textId="28F0ADAE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58 905,9</w:t>
            </w:r>
          </w:p>
        </w:tc>
        <w:tc>
          <w:tcPr>
            <w:tcW w:w="770" w:type="pct"/>
            <w:shd w:val="clear" w:color="auto" w:fill="auto"/>
          </w:tcPr>
          <w:p w14:paraId="45F2EBF3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19B41" w14:textId="24D2CC43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49 139,3</w:t>
            </w:r>
          </w:p>
        </w:tc>
      </w:tr>
      <w:bookmarkEnd w:id="5"/>
      <w:tr w:rsidR="00253197" w:rsidRPr="0040604D" w14:paraId="2505FD46" w14:textId="77777777" w:rsidTr="00183BC3">
        <w:tc>
          <w:tcPr>
            <w:tcW w:w="1781" w:type="pct"/>
            <w:shd w:val="clear" w:color="auto" w:fill="auto"/>
            <w:vAlign w:val="center"/>
          </w:tcPr>
          <w:p w14:paraId="14A2C1B4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«Безопасный город»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2EDCBF7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93" w:type="pct"/>
            <w:shd w:val="clear" w:color="auto" w:fill="auto"/>
          </w:tcPr>
          <w:p w14:paraId="7208C897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697B3" w14:textId="2C73D03F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5 791,3</w:t>
            </w:r>
          </w:p>
        </w:tc>
        <w:tc>
          <w:tcPr>
            <w:tcW w:w="793" w:type="pct"/>
            <w:shd w:val="clear" w:color="auto" w:fill="auto"/>
          </w:tcPr>
          <w:p w14:paraId="7C79815E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6871D" w14:textId="5604428A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6 371,3</w:t>
            </w:r>
          </w:p>
        </w:tc>
        <w:tc>
          <w:tcPr>
            <w:tcW w:w="770" w:type="pct"/>
            <w:shd w:val="clear" w:color="auto" w:fill="auto"/>
          </w:tcPr>
          <w:p w14:paraId="29C41F67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A629E" w14:textId="5C650029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6 391,3</w:t>
            </w:r>
          </w:p>
        </w:tc>
      </w:tr>
      <w:tr w:rsidR="00183BC3" w:rsidRPr="0040604D" w14:paraId="6182DD44" w14:textId="77777777" w:rsidTr="00183BC3">
        <w:tc>
          <w:tcPr>
            <w:tcW w:w="1781" w:type="pct"/>
            <w:shd w:val="clear" w:color="auto" w:fill="auto"/>
            <w:vAlign w:val="center"/>
          </w:tcPr>
          <w:p w14:paraId="71D230E8" w14:textId="77777777" w:rsidR="00183BC3" w:rsidRPr="0040604D" w:rsidRDefault="00183BC3" w:rsidP="00183BC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«Экономическое развитие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7AB2340" w14:textId="77777777" w:rsidR="00183BC3" w:rsidRPr="0040604D" w:rsidRDefault="00183BC3" w:rsidP="00183BC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93" w:type="pct"/>
            <w:shd w:val="clear" w:color="auto" w:fill="auto"/>
          </w:tcPr>
          <w:p w14:paraId="160B2B60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42889" w14:textId="1A1440EB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159 956,5</w:t>
            </w:r>
          </w:p>
        </w:tc>
        <w:tc>
          <w:tcPr>
            <w:tcW w:w="793" w:type="pct"/>
            <w:shd w:val="clear" w:color="auto" w:fill="auto"/>
          </w:tcPr>
          <w:p w14:paraId="1C0F4B7D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40B40" w14:textId="458BB799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150 298,0</w:t>
            </w:r>
          </w:p>
        </w:tc>
        <w:tc>
          <w:tcPr>
            <w:tcW w:w="770" w:type="pct"/>
            <w:shd w:val="clear" w:color="auto" w:fill="auto"/>
          </w:tcPr>
          <w:p w14:paraId="6BB57C70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07D46" w14:textId="11CFCB43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156 826,5</w:t>
            </w:r>
          </w:p>
        </w:tc>
      </w:tr>
      <w:tr w:rsidR="00183BC3" w:rsidRPr="0040604D" w14:paraId="4C4DC4CD" w14:textId="77777777" w:rsidTr="00183BC3">
        <w:tc>
          <w:tcPr>
            <w:tcW w:w="1781" w:type="pct"/>
            <w:shd w:val="clear" w:color="auto" w:fill="auto"/>
            <w:vAlign w:val="center"/>
          </w:tcPr>
          <w:p w14:paraId="746F56B0" w14:textId="77777777" w:rsidR="00183BC3" w:rsidRPr="0040604D" w:rsidRDefault="00183BC3" w:rsidP="00183BC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E5D87BC" w14:textId="77777777" w:rsidR="00183BC3" w:rsidRPr="0040604D" w:rsidRDefault="00183BC3" w:rsidP="00183BC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93" w:type="pct"/>
            <w:shd w:val="clear" w:color="auto" w:fill="auto"/>
          </w:tcPr>
          <w:p w14:paraId="018A33D3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D236C" w14:textId="163B71D2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793" w:type="pct"/>
            <w:shd w:val="clear" w:color="auto" w:fill="auto"/>
          </w:tcPr>
          <w:p w14:paraId="575885FB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49DE7" w14:textId="2DF2D169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  <w:tc>
          <w:tcPr>
            <w:tcW w:w="770" w:type="pct"/>
            <w:shd w:val="clear" w:color="auto" w:fill="auto"/>
          </w:tcPr>
          <w:p w14:paraId="25C53879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AA58C" w14:textId="7A18D58B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671,7</w:t>
            </w:r>
          </w:p>
        </w:tc>
      </w:tr>
      <w:tr w:rsidR="00183BC3" w:rsidRPr="0040604D" w14:paraId="6512C4DF" w14:textId="77777777" w:rsidTr="00183BC3">
        <w:tc>
          <w:tcPr>
            <w:tcW w:w="1781" w:type="pct"/>
            <w:shd w:val="clear" w:color="auto" w:fill="auto"/>
            <w:vAlign w:val="center"/>
          </w:tcPr>
          <w:p w14:paraId="5E83B740" w14:textId="77777777" w:rsidR="00183BC3" w:rsidRPr="0040604D" w:rsidRDefault="00183BC3" w:rsidP="00183BC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E19F6BA" w14:textId="77777777" w:rsidR="00183BC3" w:rsidRPr="0040604D" w:rsidRDefault="00183BC3" w:rsidP="00183BC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93" w:type="pct"/>
            <w:shd w:val="clear" w:color="auto" w:fill="auto"/>
          </w:tcPr>
          <w:p w14:paraId="3AA015C8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B2DAA" w14:textId="751D7460" w:rsidR="00183BC3" w:rsidRPr="00993D48" w:rsidRDefault="006F50C6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29 712,9</w:t>
            </w:r>
          </w:p>
        </w:tc>
        <w:tc>
          <w:tcPr>
            <w:tcW w:w="793" w:type="pct"/>
            <w:shd w:val="clear" w:color="auto" w:fill="auto"/>
          </w:tcPr>
          <w:p w14:paraId="385631F0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B3A268" w14:textId="2A707C1D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20 131,4</w:t>
            </w:r>
          </w:p>
        </w:tc>
        <w:tc>
          <w:tcPr>
            <w:tcW w:w="770" w:type="pct"/>
            <w:shd w:val="clear" w:color="auto" w:fill="auto"/>
          </w:tcPr>
          <w:p w14:paraId="258FBC67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A4CD8" w14:textId="5DC69003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2 627,6</w:t>
            </w:r>
          </w:p>
        </w:tc>
      </w:tr>
      <w:tr w:rsidR="00253197" w:rsidRPr="0040604D" w14:paraId="0D825425" w14:textId="77777777" w:rsidTr="00183BC3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8704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муниципальным программам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5C6D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8F60" w14:textId="59605E04" w:rsidR="00253197" w:rsidRPr="00787E37" w:rsidRDefault="006F50C6" w:rsidP="002531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578920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1E2D" w14:textId="4D12B7F5" w:rsidR="00253197" w:rsidRPr="00787E37" w:rsidRDefault="00253197" w:rsidP="002531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E37">
              <w:rPr>
                <w:rFonts w:ascii="Times New Roman" w:hAnsi="Times New Roman"/>
                <w:b/>
                <w:bCs/>
                <w:sz w:val="24"/>
                <w:szCs w:val="24"/>
              </w:rPr>
              <w:t>591 606,9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AF6A" w14:textId="377796D4" w:rsidR="00253197" w:rsidRPr="00787E37" w:rsidRDefault="00253197" w:rsidP="002531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E37">
              <w:rPr>
                <w:rFonts w:ascii="Times New Roman" w:hAnsi="Times New Roman"/>
                <w:b/>
                <w:bCs/>
                <w:sz w:val="24"/>
                <w:szCs w:val="24"/>
              </w:rPr>
              <w:t>575 008,1</w:t>
            </w:r>
          </w:p>
        </w:tc>
      </w:tr>
      <w:tr w:rsidR="005D3A92" w:rsidRPr="0040604D" w14:paraId="487221D2" w14:textId="77777777" w:rsidTr="00AA3503">
        <w:tc>
          <w:tcPr>
            <w:tcW w:w="1781" w:type="pct"/>
            <w:shd w:val="clear" w:color="auto" w:fill="auto"/>
            <w:vAlign w:val="bottom"/>
          </w:tcPr>
          <w:p w14:paraId="5BE2D2BA" w14:textId="77777777" w:rsidR="005D3A92" w:rsidRPr="0040604D" w:rsidRDefault="005D3A92" w:rsidP="006B10A6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7BB07C2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D255D51" w14:textId="794345AC" w:rsidR="005D3A92" w:rsidRPr="00993D48" w:rsidRDefault="00253197" w:rsidP="006B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9 741,9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D79BCFA" w14:textId="437D88D6" w:rsidR="005D3A92" w:rsidRPr="00993D48" w:rsidRDefault="00253197" w:rsidP="006B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10 741,4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253806A" w14:textId="49D53B36" w:rsidR="005D3A92" w:rsidRPr="00993D48" w:rsidRDefault="00253197" w:rsidP="006B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11 063</w:t>
            </w:r>
          </w:p>
        </w:tc>
      </w:tr>
      <w:tr w:rsidR="005D3A92" w:rsidRPr="0040604D" w14:paraId="238E8643" w14:textId="77777777" w:rsidTr="00AA3503">
        <w:tc>
          <w:tcPr>
            <w:tcW w:w="1781" w:type="pct"/>
            <w:shd w:val="clear" w:color="auto" w:fill="auto"/>
            <w:vAlign w:val="center"/>
          </w:tcPr>
          <w:p w14:paraId="5D8861C9" w14:textId="77777777" w:rsidR="005D3A92" w:rsidRPr="0040604D" w:rsidRDefault="005D3A92" w:rsidP="006B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41C3675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962098F" w14:textId="512797C8" w:rsidR="005D3A92" w:rsidRPr="00993D48" w:rsidRDefault="006F50C6" w:rsidP="006B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588 661,9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11591BC" w14:textId="5194E013" w:rsidR="005D3A92" w:rsidRPr="00993D48" w:rsidRDefault="00E22BB6" w:rsidP="006B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48">
              <w:rPr>
                <w:rFonts w:ascii="Times New Roman" w:hAnsi="Times New Roman"/>
                <w:b/>
                <w:sz w:val="24"/>
                <w:szCs w:val="24"/>
              </w:rPr>
              <w:t>602 348,3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5384AA85" w14:textId="078FFED2" w:rsidR="005D3A92" w:rsidRPr="00993D48" w:rsidRDefault="00E22BB6" w:rsidP="006B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48">
              <w:rPr>
                <w:rFonts w:ascii="Times New Roman" w:hAnsi="Times New Roman"/>
                <w:b/>
                <w:sz w:val="24"/>
                <w:szCs w:val="24"/>
              </w:rPr>
              <w:t>586 071,1</w:t>
            </w:r>
          </w:p>
        </w:tc>
      </w:tr>
    </w:tbl>
    <w:p w14:paraId="2DC178EE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90BF6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Информация об основных направлениях расходов муниципальных программ представлена в соответствующих разделах настоящей пояснительной записки.</w:t>
      </w:r>
    </w:p>
    <w:p w14:paraId="775CE3D6" w14:textId="348A2F18" w:rsidR="005D3A92" w:rsidRPr="004555BD" w:rsidRDefault="005D3A92" w:rsidP="005D3A9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Объем межбюджетных трансфертов, предоставляемых из районного бюджета бюджетам поселений, в соответствии со статьей 9 проекта решения составит на 202</w:t>
      </w:r>
      <w:r w:rsidR="00E22BB6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в сумме 2</w:t>
      </w:r>
      <w:r w:rsidR="00E22BB6" w:rsidRPr="004555BD">
        <w:rPr>
          <w:rFonts w:ascii="Times New Roman" w:hAnsi="Times New Roman"/>
          <w:sz w:val="26"/>
          <w:szCs w:val="26"/>
        </w:rPr>
        <w:t>4 501,4</w:t>
      </w:r>
      <w:r w:rsidRPr="004555BD">
        <w:rPr>
          <w:rFonts w:ascii="Times New Roman" w:hAnsi="Times New Roman"/>
          <w:sz w:val="26"/>
          <w:szCs w:val="26"/>
        </w:rPr>
        <w:t xml:space="preserve"> тыс. рублей, на 202</w:t>
      </w:r>
      <w:r w:rsidR="00E22BB6" w:rsidRPr="004555BD">
        <w:rPr>
          <w:rFonts w:ascii="Times New Roman" w:hAnsi="Times New Roman"/>
          <w:sz w:val="26"/>
          <w:szCs w:val="26"/>
        </w:rPr>
        <w:t xml:space="preserve">3 </w:t>
      </w:r>
      <w:r w:rsidRPr="004555BD">
        <w:rPr>
          <w:rFonts w:ascii="Times New Roman" w:hAnsi="Times New Roman"/>
          <w:sz w:val="26"/>
          <w:szCs w:val="26"/>
        </w:rPr>
        <w:t xml:space="preserve">год в сумме </w:t>
      </w:r>
      <w:r w:rsidR="00E22BB6" w:rsidRPr="004555BD">
        <w:rPr>
          <w:rFonts w:ascii="Times New Roman" w:hAnsi="Times New Roman"/>
          <w:sz w:val="26"/>
          <w:szCs w:val="26"/>
        </w:rPr>
        <w:t xml:space="preserve">36 406 </w:t>
      </w:r>
      <w:r w:rsidRPr="004555BD">
        <w:rPr>
          <w:rFonts w:ascii="Times New Roman" w:hAnsi="Times New Roman"/>
          <w:sz w:val="26"/>
          <w:szCs w:val="26"/>
        </w:rPr>
        <w:t>тыс. рублей, на 202</w:t>
      </w:r>
      <w:r w:rsidR="00E22BB6" w:rsidRPr="004555BD">
        <w:rPr>
          <w:rFonts w:ascii="Times New Roman" w:hAnsi="Times New Roman"/>
          <w:sz w:val="26"/>
          <w:szCs w:val="26"/>
        </w:rPr>
        <w:t>4</w:t>
      </w:r>
      <w:r w:rsidRPr="004555BD">
        <w:rPr>
          <w:rFonts w:ascii="Times New Roman" w:hAnsi="Times New Roman"/>
          <w:sz w:val="26"/>
          <w:szCs w:val="26"/>
        </w:rPr>
        <w:t xml:space="preserve"> год в сумме </w:t>
      </w:r>
      <w:r w:rsidR="00E22BB6" w:rsidRPr="004555BD">
        <w:rPr>
          <w:rFonts w:ascii="Times New Roman" w:hAnsi="Times New Roman"/>
          <w:sz w:val="26"/>
          <w:szCs w:val="26"/>
        </w:rPr>
        <w:t>25 841,5</w:t>
      </w:r>
      <w:r w:rsidRPr="004555BD">
        <w:rPr>
          <w:rFonts w:ascii="Times New Roman" w:hAnsi="Times New Roman"/>
          <w:sz w:val="26"/>
          <w:szCs w:val="26"/>
        </w:rPr>
        <w:t xml:space="preserve"> тыс. рублей.</w:t>
      </w:r>
    </w:p>
    <w:p w14:paraId="419D722B" w14:textId="3AC096D9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Структура межбюджетных трансфертов, предоставляемых из районного бюджета, представлена в таблице 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555BD">
        <w:rPr>
          <w:sz w:val="26"/>
          <w:szCs w:val="26"/>
        </w:rPr>
        <w:t xml:space="preserve"> </w:t>
      </w:r>
    </w:p>
    <w:p w14:paraId="5031A4FA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92DDFE" w14:textId="77777777" w:rsidR="005D3A92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Таблица 5. Структура межбюджетных трансфертов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5B2493" w14:textId="3E360FC0" w:rsidR="005D3A92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F61BE8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0"/>
        <w:gridCol w:w="1287"/>
        <w:gridCol w:w="1181"/>
        <w:gridCol w:w="1316"/>
        <w:gridCol w:w="1316"/>
        <w:gridCol w:w="1315"/>
        <w:gridCol w:w="1313"/>
      </w:tblGrid>
      <w:tr w:rsidR="005D3A92" w:rsidRPr="0040604D" w14:paraId="534796B2" w14:textId="77777777" w:rsidTr="00993D48">
        <w:trPr>
          <w:trHeight w:val="307"/>
          <w:tblHeader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5EA8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Вид МБТ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48E5" w14:textId="3A9ACC6A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</w:t>
            </w:r>
            <w:r w:rsidR="00E22BB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22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4864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FDF1" w14:textId="3A4D8C59" w:rsidR="005D3A92" w:rsidRPr="0040604D" w:rsidRDefault="005D3A92" w:rsidP="00E2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202</w:t>
            </w:r>
            <w:r w:rsidR="00E22BB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E9AF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9DF8" w14:textId="50019C29" w:rsidR="005D3A92" w:rsidRPr="0040604D" w:rsidRDefault="005D3A92" w:rsidP="00E2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202</w:t>
            </w:r>
            <w:r w:rsidR="00E22BB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D9D6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</w:tr>
      <w:tr w:rsidR="005D3A92" w:rsidRPr="0040604D" w14:paraId="3C092E54" w14:textId="77777777" w:rsidTr="00993D48">
        <w:trPr>
          <w:trHeight w:val="144"/>
          <w:tblHeader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0E17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89FA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4551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3F3E4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45E6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5AC1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45B8E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7</w:t>
            </w:r>
          </w:p>
        </w:tc>
      </w:tr>
      <w:tr w:rsidR="00993D48" w:rsidRPr="0040604D" w14:paraId="4F6A0EA3" w14:textId="77777777" w:rsidTr="00993D48">
        <w:trPr>
          <w:trHeight w:val="184"/>
        </w:trPr>
        <w:tc>
          <w:tcPr>
            <w:tcW w:w="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431AE4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B7684" w14:textId="12FA4C98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24 501,4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E900D" w14:textId="2E9D6AB7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</w:t>
            </w:r>
            <w:r w:rsidR="0078648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9245B" w14:textId="21A10ADE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36 406,0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48488" w14:textId="11A6756F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6,0%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D4E92" w14:textId="5D69E6C7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25 841,5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BDF81" w14:textId="71A069EA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4,4%</w:t>
            </w:r>
          </w:p>
        </w:tc>
      </w:tr>
      <w:tr w:rsidR="005D3A92" w:rsidRPr="0040604D" w14:paraId="06F60C13" w14:textId="77777777" w:rsidTr="00993D48">
        <w:trPr>
          <w:trHeight w:val="283"/>
        </w:trPr>
        <w:tc>
          <w:tcPr>
            <w:tcW w:w="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C05497" w14:textId="77777777" w:rsidR="005D3A92" w:rsidRPr="0040604D" w:rsidRDefault="005D3A92" w:rsidP="006B10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bookmarkStart w:id="6" w:name="_Hlk55553670"/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9E260" w14:textId="11B4AD3D" w:rsidR="005D3A92" w:rsidRPr="00993D48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13 169,4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3539" w14:textId="569D4A21" w:rsidR="005D3A92" w:rsidRPr="00993D48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2,3</w:t>
            </w:r>
            <w:r w:rsidR="005D3A92"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C95F7" w14:textId="16F464AB" w:rsidR="005D3A92" w:rsidRPr="00993D48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24 054,2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1D86F" w14:textId="715803F7" w:rsidR="005D3A92" w:rsidRPr="00993D48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  <w:r w:rsidR="00993D48"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8DA8A" w14:textId="484E0E9E" w:rsidR="005D3A92" w:rsidRPr="00993D48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13 060,6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4C429" w14:textId="2B912D0C" w:rsidR="005D3A92" w:rsidRPr="00993D48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2,2</w:t>
            </w:r>
            <w:r w:rsidR="00993D48"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</w:tr>
      <w:tr w:rsidR="00E22BB6" w:rsidRPr="0040604D" w14:paraId="5514E21B" w14:textId="77777777" w:rsidTr="00993D48">
        <w:trPr>
          <w:trHeight w:val="2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A1B22" w14:textId="5DADE504" w:rsidR="00E22BB6" w:rsidRPr="00E22BB6" w:rsidRDefault="00E22BB6" w:rsidP="006B10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E22BB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Иные межбюджетные трансферы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FB786" w14:textId="60693E9E" w:rsidR="00E22BB6" w:rsidRPr="00E22BB6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11 332,0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07728" w14:textId="66BFC2CD" w:rsidR="00E22BB6" w:rsidRPr="00E22BB6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1,9</w:t>
            </w:r>
            <w:r w:rsidR="00993D4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80D73" w14:textId="1CAD1983" w:rsidR="00993D48" w:rsidRPr="00E22BB6" w:rsidRDefault="0078648D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12 351,9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DF66" w14:textId="6B31B1F2" w:rsidR="00E22BB6" w:rsidRPr="00E22BB6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2,%</w:t>
            </w:r>
            <w:proofErr w:type="gramEnd"/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F381A" w14:textId="53F68ADB" w:rsidR="00E22BB6" w:rsidRPr="00E22BB6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12 780,9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81470" w14:textId="33784C64" w:rsidR="00E22BB6" w:rsidRPr="00E22BB6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2,</w:t>
            </w:r>
            <w:r w:rsidR="007864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bookmarkEnd w:id="6"/>
      <w:tr w:rsidR="005D3A92" w:rsidRPr="0040604D" w14:paraId="55CC1CFA" w14:textId="77777777" w:rsidTr="00993D48">
        <w:trPr>
          <w:trHeight w:val="2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9EAB4" w14:textId="77777777" w:rsidR="005D3A92" w:rsidRPr="00A1521E" w:rsidRDefault="005D3A92" w:rsidP="006B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A1521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DBEE6" w14:textId="3DD75DAB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24 501,4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170A5" w14:textId="711F8B2D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4,</w:t>
            </w:r>
            <w:r w:rsidR="0078648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="005D3A92"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B43C8" w14:textId="599E7869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36</w:t>
            </w:r>
            <w:r w:rsidR="00993D4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406</w:t>
            </w:r>
            <w:r w:rsidR="00993D4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42153" w14:textId="1304C117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6,0</w:t>
            </w:r>
            <w:r w:rsidR="005D3A92"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F6CE7" w14:textId="62FBC3AE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25 841,5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1CE82" w14:textId="002B13D6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4,</w:t>
            </w:r>
            <w:r w:rsidR="0078648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%</w:t>
            </w:r>
          </w:p>
        </w:tc>
      </w:tr>
    </w:tbl>
    <w:p w14:paraId="1280952A" w14:textId="77777777" w:rsidR="005D3A92" w:rsidRPr="0040604D" w:rsidRDefault="005D3A92" w:rsidP="005D3A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E726C6" w14:textId="01533235" w:rsidR="005D3A92" w:rsidRPr="004555BD" w:rsidRDefault="0078648D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64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D3A92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Муниципальная программа </w:t>
      </w:r>
    </w:p>
    <w:p w14:paraId="63C774CF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Развитие образования в муниципальном образовании «Катангский район» на 2019-2024 годы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75D92534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6752D55" w14:textId="70E5800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</w:t>
      </w:r>
      <w:r w:rsidRPr="004555BD">
        <w:rPr>
          <w:rFonts w:ascii="Times New Roman" w:eastAsia="MS Mincho" w:hAnsi="Times New Roman"/>
          <w:bCs/>
          <w:sz w:val="26"/>
          <w:szCs w:val="26"/>
          <w:lang w:eastAsia="ru-RU"/>
        </w:rPr>
        <w:t>Развитие образования в муниципальном образовании «Катангский район» на 2019-2024 годы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 утверждена постановлением администрации муниципального образования «Катангский район» от 14 ноября 2018 года № 287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 w:rsidRPr="004555BD">
        <w:rPr>
          <w:rFonts w:ascii="Times New Roman" w:hAnsi="Times New Roman"/>
          <w:sz w:val="26"/>
          <w:szCs w:val="26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4555BD">
        <w:rPr>
          <w:rFonts w:ascii="Times New Roman" w:hAnsi="Times New Roman"/>
          <w:sz w:val="26"/>
          <w:szCs w:val="26"/>
        </w:rPr>
        <w:t>6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7858F004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FCB701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Таблица 6. Ресурсное обеспечение муниципальной программы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555BD">
        <w:rPr>
          <w:rFonts w:ascii="Times New Roman" w:eastAsia="MS Mincho" w:hAnsi="Times New Roman"/>
          <w:bCs/>
          <w:sz w:val="26"/>
          <w:szCs w:val="26"/>
          <w:lang w:eastAsia="ru-RU"/>
        </w:rPr>
        <w:t>Развитие образования в муниципальном образовании «Катангский район» на 2019-2024 годы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2805440F" w14:textId="77777777" w:rsidR="005D3A92" w:rsidRPr="004555BD" w:rsidRDefault="005D3A92" w:rsidP="005D3A92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(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hAnsi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538"/>
        <w:gridCol w:w="1726"/>
        <w:gridCol w:w="2032"/>
      </w:tblGrid>
      <w:tr w:rsidR="005D3A92" w:rsidRPr="0040604D" w14:paraId="2A8742E6" w14:textId="77777777" w:rsidTr="00E22BB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6D10AABE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3733D2D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6FEAE74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3778071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3A92" w:rsidRPr="0040604D" w14:paraId="6524F791" w14:textId="77777777" w:rsidTr="00E22BB6">
        <w:trPr>
          <w:trHeight w:val="195"/>
        </w:trPr>
        <w:tc>
          <w:tcPr>
            <w:tcW w:w="4332" w:type="dxa"/>
            <w:shd w:val="clear" w:color="auto" w:fill="auto"/>
          </w:tcPr>
          <w:p w14:paraId="221E2ED9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AF804A2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17D6B7D6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3573F52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22BB6" w:rsidRPr="0040604D" w14:paraId="3BA4CBDD" w14:textId="77777777" w:rsidTr="00F628BF">
        <w:trPr>
          <w:trHeight w:val="806"/>
        </w:trPr>
        <w:tc>
          <w:tcPr>
            <w:tcW w:w="4332" w:type="dxa"/>
            <w:shd w:val="clear" w:color="auto" w:fill="auto"/>
            <w:hideMark/>
          </w:tcPr>
          <w:p w14:paraId="563A5A27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Развитие образования в муниципальном образовании «Катангский район» на 2019-2024 годы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8" w:type="dxa"/>
            <w:shd w:val="clear" w:color="auto" w:fill="auto"/>
          </w:tcPr>
          <w:p w14:paraId="17A17A43" w14:textId="25AF9AA5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286 624,6</w:t>
            </w:r>
          </w:p>
        </w:tc>
        <w:tc>
          <w:tcPr>
            <w:tcW w:w="1726" w:type="dxa"/>
            <w:shd w:val="clear" w:color="auto" w:fill="auto"/>
            <w:noWrap/>
          </w:tcPr>
          <w:p w14:paraId="28DC2BFE" w14:textId="1562FF93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303 955,8</w:t>
            </w:r>
          </w:p>
        </w:tc>
        <w:tc>
          <w:tcPr>
            <w:tcW w:w="2032" w:type="dxa"/>
            <w:shd w:val="clear" w:color="auto" w:fill="auto"/>
            <w:noWrap/>
          </w:tcPr>
          <w:p w14:paraId="219065F9" w14:textId="32B733C3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305 744,4</w:t>
            </w:r>
          </w:p>
        </w:tc>
      </w:tr>
      <w:tr w:rsidR="00E22BB6" w:rsidRPr="0040604D" w14:paraId="3D64F3B6" w14:textId="77777777" w:rsidTr="00E22BB6">
        <w:trPr>
          <w:trHeight w:val="360"/>
        </w:trPr>
        <w:tc>
          <w:tcPr>
            <w:tcW w:w="4332" w:type="dxa"/>
            <w:shd w:val="clear" w:color="auto" w:fill="auto"/>
            <w:hideMark/>
          </w:tcPr>
          <w:p w14:paraId="3C2D9EEC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538" w:type="dxa"/>
            <w:shd w:val="clear" w:color="auto" w:fill="auto"/>
          </w:tcPr>
          <w:p w14:paraId="3D36A212" w14:textId="1065C109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56 890,1</w:t>
            </w:r>
          </w:p>
        </w:tc>
        <w:tc>
          <w:tcPr>
            <w:tcW w:w="1726" w:type="dxa"/>
            <w:shd w:val="clear" w:color="auto" w:fill="auto"/>
            <w:noWrap/>
          </w:tcPr>
          <w:p w14:paraId="73F45A50" w14:textId="106D7ED4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60 293,1</w:t>
            </w:r>
          </w:p>
        </w:tc>
        <w:tc>
          <w:tcPr>
            <w:tcW w:w="2032" w:type="dxa"/>
            <w:shd w:val="clear" w:color="auto" w:fill="auto"/>
            <w:noWrap/>
          </w:tcPr>
          <w:p w14:paraId="00399DBC" w14:textId="0BB07DEF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60 407,4</w:t>
            </w:r>
          </w:p>
        </w:tc>
      </w:tr>
      <w:tr w:rsidR="00E22BB6" w:rsidRPr="0040604D" w14:paraId="0EE0EB53" w14:textId="77777777" w:rsidTr="00E22BB6">
        <w:trPr>
          <w:trHeight w:val="255"/>
        </w:trPr>
        <w:tc>
          <w:tcPr>
            <w:tcW w:w="4332" w:type="dxa"/>
            <w:shd w:val="clear" w:color="auto" w:fill="auto"/>
            <w:hideMark/>
          </w:tcPr>
          <w:p w14:paraId="64E672B8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«Общее образование»</w:t>
            </w:r>
          </w:p>
        </w:tc>
        <w:tc>
          <w:tcPr>
            <w:tcW w:w="1538" w:type="dxa"/>
            <w:shd w:val="clear" w:color="auto" w:fill="auto"/>
          </w:tcPr>
          <w:p w14:paraId="77CBF0C1" w14:textId="5E8D98CC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170 917,6</w:t>
            </w:r>
          </w:p>
        </w:tc>
        <w:tc>
          <w:tcPr>
            <w:tcW w:w="1726" w:type="dxa"/>
            <w:shd w:val="clear" w:color="auto" w:fill="auto"/>
            <w:noWrap/>
          </w:tcPr>
          <w:p w14:paraId="65E01C3D" w14:textId="27D2DC89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 xml:space="preserve">183 769 </w:t>
            </w:r>
          </w:p>
        </w:tc>
        <w:tc>
          <w:tcPr>
            <w:tcW w:w="2032" w:type="dxa"/>
            <w:shd w:val="clear" w:color="auto" w:fill="auto"/>
            <w:noWrap/>
          </w:tcPr>
          <w:p w14:paraId="61A84160" w14:textId="1426F41C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185 089,4</w:t>
            </w:r>
          </w:p>
        </w:tc>
      </w:tr>
      <w:tr w:rsidR="00E22BB6" w:rsidRPr="0040604D" w14:paraId="2AA95270" w14:textId="77777777" w:rsidTr="00E22BB6">
        <w:trPr>
          <w:trHeight w:val="255"/>
        </w:trPr>
        <w:tc>
          <w:tcPr>
            <w:tcW w:w="4332" w:type="dxa"/>
            <w:shd w:val="clear" w:color="auto" w:fill="auto"/>
            <w:hideMark/>
          </w:tcPr>
          <w:p w14:paraId="65B094C2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1538" w:type="dxa"/>
            <w:shd w:val="clear" w:color="auto" w:fill="auto"/>
          </w:tcPr>
          <w:p w14:paraId="4247CCDD" w14:textId="727DB0F4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22 929,3</w:t>
            </w:r>
          </w:p>
        </w:tc>
        <w:tc>
          <w:tcPr>
            <w:tcW w:w="1726" w:type="dxa"/>
            <w:shd w:val="clear" w:color="auto" w:fill="auto"/>
            <w:noWrap/>
          </w:tcPr>
          <w:p w14:paraId="578B13D3" w14:textId="7E8B9951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23 622,5</w:t>
            </w:r>
          </w:p>
        </w:tc>
        <w:tc>
          <w:tcPr>
            <w:tcW w:w="2032" w:type="dxa"/>
            <w:shd w:val="clear" w:color="auto" w:fill="auto"/>
            <w:noWrap/>
          </w:tcPr>
          <w:p w14:paraId="0D8461D1" w14:textId="04C176D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23 911,6</w:t>
            </w:r>
          </w:p>
        </w:tc>
      </w:tr>
      <w:tr w:rsidR="00E22BB6" w:rsidRPr="0040604D" w14:paraId="77500056" w14:textId="77777777" w:rsidTr="00E22BB6">
        <w:trPr>
          <w:trHeight w:val="510"/>
        </w:trPr>
        <w:tc>
          <w:tcPr>
            <w:tcW w:w="4332" w:type="dxa"/>
            <w:shd w:val="clear" w:color="auto" w:fill="auto"/>
            <w:hideMark/>
          </w:tcPr>
          <w:p w14:paraId="3CCC5F6A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в летнее время»</w:t>
            </w:r>
          </w:p>
        </w:tc>
        <w:tc>
          <w:tcPr>
            <w:tcW w:w="1538" w:type="dxa"/>
            <w:shd w:val="clear" w:color="auto" w:fill="auto"/>
          </w:tcPr>
          <w:p w14:paraId="07753F5A" w14:textId="0486302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2 758,4</w:t>
            </w:r>
          </w:p>
        </w:tc>
        <w:tc>
          <w:tcPr>
            <w:tcW w:w="1726" w:type="dxa"/>
            <w:shd w:val="clear" w:color="auto" w:fill="auto"/>
            <w:noWrap/>
          </w:tcPr>
          <w:p w14:paraId="380C0B01" w14:textId="0F797DF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2 758,4</w:t>
            </w:r>
          </w:p>
        </w:tc>
        <w:tc>
          <w:tcPr>
            <w:tcW w:w="2032" w:type="dxa"/>
            <w:shd w:val="clear" w:color="auto" w:fill="auto"/>
            <w:noWrap/>
          </w:tcPr>
          <w:p w14:paraId="410EFEC1" w14:textId="3787581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2 758,4</w:t>
            </w:r>
          </w:p>
        </w:tc>
      </w:tr>
      <w:tr w:rsidR="00E22BB6" w:rsidRPr="0040604D" w14:paraId="5C7803AC" w14:textId="77777777" w:rsidTr="00E22BB6">
        <w:trPr>
          <w:trHeight w:val="255"/>
        </w:trPr>
        <w:tc>
          <w:tcPr>
            <w:tcW w:w="4332" w:type="dxa"/>
            <w:shd w:val="clear" w:color="auto" w:fill="auto"/>
            <w:hideMark/>
          </w:tcPr>
          <w:p w14:paraId="5329D55B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38" w:type="dxa"/>
            <w:shd w:val="clear" w:color="auto" w:fill="auto"/>
          </w:tcPr>
          <w:p w14:paraId="06EAF67A" w14:textId="385793D8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33 129,2</w:t>
            </w:r>
          </w:p>
        </w:tc>
        <w:tc>
          <w:tcPr>
            <w:tcW w:w="1726" w:type="dxa"/>
            <w:shd w:val="clear" w:color="auto" w:fill="auto"/>
            <w:noWrap/>
          </w:tcPr>
          <w:p w14:paraId="7EFE67CE" w14:textId="43BBD579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33 512,8</w:t>
            </w:r>
          </w:p>
        </w:tc>
        <w:tc>
          <w:tcPr>
            <w:tcW w:w="2032" w:type="dxa"/>
            <w:shd w:val="clear" w:color="auto" w:fill="auto"/>
            <w:noWrap/>
          </w:tcPr>
          <w:p w14:paraId="00E1409A" w14:textId="27B9E10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33 577,5</w:t>
            </w:r>
          </w:p>
        </w:tc>
      </w:tr>
    </w:tbl>
    <w:p w14:paraId="54488EAE" w14:textId="77777777" w:rsidR="00F628BF" w:rsidRDefault="00F628B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60799A" w14:textId="540EBBD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финансового обеспечения реализации муниципальной программы из районного бюджета на 202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составит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286 624,6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303 955,8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305 744,4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числе за счет средств областного бюджета расходы составят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166 420,3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178 527,4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– 178 513,4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  <w:r w:rsidRPr="004555BD">
        <w:rPr>
          <w:rFonts w:ascii="Times New Roman" w:hAnsi="Times New Roman"/>
          <w:sz w:val="26"/>
          <w:szCs w:val="26"/>
        </w:rPr>
        <w:t xml:space="preserve"> </w:t>
      </w:r>
    </w:p>
    <w:p w14:paraId="7525E2C9" w14:textId="20D62B42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рамках муниципальной программы предусмотрена реализация следующих подпрограмм:</w:t>
      </w:r>
      <w:r w:rsidR="00F628BF" w:rsidRPr="004555BD">
        <w:rPr>
          <w:sz w:val="26"/>
          <w:szCs w:val="26"/>
        </w:rPr>
        <w:t xml:space="preserve"> </w:t>
      </w:r>
    </w:p>
    <w:p w14:paraId="497A21B2" w14:textId="76F6BB3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1) «Дошкольное образование», расходы составят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56 890,2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60 293,1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6F50C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60 407,4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</w:p>
    <w:p w14:paraId="6D6B7A0F" w14:textId="7A611C4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финансовое обеспечение реализации основных программ дошкольного образования в соответствии с ФГОС в части предоставления субвенций на обеспечение государственных гарантий реализации прав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граждан на получение общедоступного и бесплатного дошкольного образования в муниципальных дошкольных организациях, расходы на 202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составят 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41 980,4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расходы составят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45 125,5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расходы составят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45 125,5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Pr="004555BD">
        <w:rPr>
          <w:sz w:val="26"/>
          <w:szCs w:val="26"/>
        </w:rPr>
        <w:t xml:space="preserve"> </w:t>
      </w:r>
    </w:p>
    <w:p w14:paraId="4F368DD4" w14:textId="63C8B2A8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организацию предоставления общедоступного и бесплатного дошкольного образования</w:t>
      </w:r>
      <w:r w:rsidRPr="004555BD">
        <w:rPr>
          <w:rFonts w:ascii="Times New Roman" w:hAnsi="Times New Roman"/>
          <w:sz w:val="26"/>
          <w:szCs w:val="26"/>
        </w:rPr>
        <w:t xml:space="preserve"> расходы составят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14 909,7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15 167,6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15 281,9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Pr="004555BD">
        <w:rPr>
          <w:sz w:val="26"/>
          <w:szCs w:val="26"/>
        </w:rPr>
        <w:t xml:space="preserve"> </w:t>
      </w:r>
    </w:p>
    <w:p w14:paraId="7AEBEBEF" w14:textId="021C0D6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2)</w:t>
      </w:r>
      <w:r w:rsidRPr="004555BD">
        <w:rPr>
          <w:rFonts w:ascii="Times New Roman" w:hAnsi="Times New Roman"/>
          <w:sz w:val="26"/>
          <w:szCs w:val="26"/>
        </w:rPr>
        <w:t xml:space="preserve"> «Общее образование»,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170 917,6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183 769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185 089,4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</w:t>
      </w:r>
      <w:r w:rsidRPr="004555BD">
        <w:rPr>
          <w:rFonts w:ascii="Times New Roman" w:hAnsi="Times New Roman"/>
          <w:sz w:val="26"/>
          <w:szCs w:val="26"/>
        </w:rPr>
        <w:t>:</w:t>
      </w:r>
      <w:r w:rsidR="00F628BF" w:rsidRPr="004555BD">
        <w:rPr>
          <w:sz w:val="26"/>
          <w:szCs w:val="26"/>
        </w:rPr>
        <w:t xml:space="preserve"> </w:t>
      </w:r>
    </w:p>
    <w:p w14:paraId="47C71B92" w14:textId="6046DD99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финансовое обеспечение реализации основных программ начального общего, основного общего, среднего общего образования в соответствии с ФГОС в части предоставления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расходы составят на 202</w:t>
      </w:r>
      <w:r w:rsidR="00F628BF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120 173,2 тыс. рублей, на 2023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128</w:t>
      </w:r>
      <w:r w:rsidR="007864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908,1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128908,1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>;</w:t>
      </w:r>
    </w:p>
    <w:p w14:paraId="3C7991AC" w14:textId="2A3FB900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>организацию предоставления общедоступного и бесплатного начального общего, основного общего, среднего общего образования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составят </w:t>
      </w:r>
      <w:r w:rsidRPr="004555BD">
        <w:rPr>
          <w:rFonts w:ascii="Times New Roman" w:hAnsi="Times New Roman"/>
          <w:sz w:val="26"/>
          <w:szCs w:val="26"/>
        </w:rPr>
        <w:t>на 202</w:t>
      </w:r>
      <w:r w:rsidR="000D45A1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46 989,9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50 880,1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52 230,5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  <w:r w:rsidR="000D45A1" w:rsidRPr="004555BD">
        <w:rPr>
          <w:sz w:val="26"/>
          <w:szCs w:val="26"/>
        </w:rPr>
        <w:t xml:space="preserve"> </w:t>
      </w:r>
    </w:p>
    <w:p w14:paraId="2094C356" w14:textId="77777777" w:rsidR="00B1183F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сохранение и укрепление здоровья учащихся, создание условия для формирования ЗОЖ </w:t>
      </w:r>
      <w:bookmarkStart w:id="7" w:name="_Hlk55555205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Pr="004555BD">
        <w:rPr>
          <w:rFonts w:ascii="Times New Roman" w:hAnsi="Times New Roman"/>
          <w:sz w:val="26"/>
          <w:szCs w:val="26"/>
        </w:rPr>
        <w:t>на 202</w:t>
      </w:r>
      <w:r w:rsidR="000D45A1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417,6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415,8 тыс.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415,8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рублей,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14:paraId="1ED640F6" w14:textId="259D8B32" w:rsidR="005D3A92" w:rsidRPr="004555BD" w:rsidRDefault="00B1183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осуществление областных государственных полномочий по обеспечению бесплатным двухразовым питанием детей - инвалидов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2022-2024 годы 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составят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по 84,0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72A6B13A" w14:textId="44665A28" w:rsidR="00B1183F" w:rsidRPr="004555BD" w:rsidRDefault="00B1183F" w:rsidP="00B1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обеспечение бесплатным питьевым молоком обучающихся 1-4 классов расходы на 2022 год составят 332 тыс. рублей, расходы на 2023-2024 годы составят по 331,8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 ежегодно;</w:t>
      </w:r>
      <w:r w:rsidRPr="004555BD">
        <w:rPr>
          <w:sz w:val="26"/>
          <w:szCs w:val="26"/>
        </w:rPr>
        <w:t xml:space="preserve"> </w:t>
      </w:r>
    </w:p>
    <w:p w14:paraId="3DE6419B" w14:textId="5A6EAE16" w:rsidR="00B1183F" w:rsidRPr="004555BD" w:rsidRDefault="00B1183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7"/>
    <w:p w14:paraId="1C86F02A" w14:textId="0AF81C56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организация бесплатного горячего питания обучающихся, получающих начальное общее образование расходы на 202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составят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2 706,9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 год составят 2 684,1 тыс. рублей, 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расходы составят 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2 757,2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  <w:r w:rsidR="00B1183F" w:rsidRPr="004555BD">
        <w:rPr>
          <w:sz w:val="26"/>
          <w:szCs w:val="26"/>
        </w:rPr>
        <w:t xml:space="preserve"> </w:t>
      </w:r>
    </w:p>
    <w:p w14:paraId="70701A88" w14:textId="1F90A434" w:rsidR="000D45A1" w:rsidRPr="004555BD" w:rsidRDefault="000D45A1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бесплатного двухразового питания обучающихся с ограниченными возможностями здоровья в муниципальных общеобразовательных организациях  расходы на 2022 год составят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433,8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расходы на 2023 год составят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608,6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2024 год расходы составят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581,6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5BFEE4C3" w14:textId="07439909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реализация переданных полномочий по   Муниципальной программе «Молодежная политика, работа с детьми и молодежью Преображенского муниципального образования на 2019-202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гг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.»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составят по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196,2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 ежегодно;</w:t>
      </w:r>
    </w:p>
    <w:p w14:paraId="5D9B07E1" w14:textId="1A9BD469" w:rsidR="00B1183F" w:rsidRPr="004555BD" w:rsidRDefault="00B1183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организаций, расходы на 2023 год составят 76,1 тыс. рублей.</w:t>
      </w:r>
      <w:r w:rsidRPr="004555BD">
        <w:rPr>
          <w:sz w:val="26"/>
          <w:szCs w:val="26"/>
        </w:rPr>
        <w:t xml:space="preserve"> </w:t>
      </w:r>
    </w:p>
    <w:p w14:paraId="5C9B04A6" w14:textId="1829E751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3) «Дополнительное образование»,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22 929,3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23 622,5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23 911,6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 организацию предоставления дополнительного образования.</w:t>
      </w:r>
    </w:p>
    <w:p w14:paraId="420E3F27" w14:textId="3D28281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4) «Организация отдыха и оздоровления детей в летнее время», расходы составят на 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по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2 758,4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из них предусмотрены расходы на:</w:t>
      </w:r>
    </w:p>
    <w:p w14:paraId="379995C2" w14:textId="33FC5775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подготовку к проведению оздоровительного сезона, расходы составят по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2 112,4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ежегодно;</w:t>
      </w:r>
    </w:p>
    <w:p w14:paraId="1A12FE1C" w14:textId="7EFC5FC6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организацию отдыха и оздоровления детей в каникулярный период, расходы составят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214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ежегодно;</w:t>
      </w:r>
    </w:p>
    <w:p w14:paraId="65AB2859" w14:textId="137E25D3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организацию питания детей в каникулярное время, расходы составят на 202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по 4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237D6AA" w14:textId="6C226E4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5) «Обеспечение реализации муниципальной программы», расходы составят </w:t>
      </w:r>
      <w:bookmarkStart w:id="8" w:name="_Hlk55555704"/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33 129,2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 на 2023 год 33 512,8 тыс. рублей, на 2024 год 33 577,5 тыс. </w:t>
      </w:r>
      <w:bookmarkEnd w:id="8"/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на:</w:t>
      </w:r>
      <w:r w:rsidR="004F3DBA" w:rsidRPr="004555BD">
        <w:rPr>
          <w:sz w:val="26"/>
          <w:szCs w:val="26"/>
        </w:rPr>
        <w:t xml:space="preserve"> </w:t>
      </w:r>
    </w:p>
    <w:p w14:paraId="63332D05" w14:textId="2B04CDB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деятельности муниципального отдела образования, расходы составят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32 043,2 тыс. рублей, на 2023 год 32 514,8 тыс. рублей, на 2024 год 32 579,5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25435D3" w14:textId="397C5A89" w:rsidR="004F3DBA" w:rsidRPr="004555BD" w:rsidRDefault="004F3DBA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учительского корпуса,</w:t>
      </w:r>
      <w:r w:rsidRPr="004555BD">
        <w:rPr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120,0 тыс. рублей ежегодно;</w:t>
      </w:r>
    </w:p>
    <w:p w14:paraId="63CFE475" w14:textId="0D70A320" w:rsidR="004F3DBA" w:rsidRPr="004555BD" w:rsidRDefault="004F3DBA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повышение квалификации административного и педагогического персонала, расходы на 2022 год составят 88,0 тыс. рублей;</w:t>
      </w:r>
    </w:p>
    <w:p w14:paraId="352EB221" w14:textId="78C7D312" w:rsidR="004F3DBA" w:rsidRPr="004555BD" w:rsidRDefault="004F3DBA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системы работы с талантливыми детьми, расходы составят 100,0 тыс. рублей ежегодно;</w:t>
      </w:r>
    </w:p>
    <w:p w14:paraId="3D52FCFF" w14:textId="0C7BE535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обеспечение учебниками, учебными пособиями и средствами обучения и воспитания,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0,0 тыс. рублей ежегодно.</w:t>
      </w:r>
    </w:p>
    <w:p w14:paraId="33C096DB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682FB0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Муниципальная программа </w:t>
      </w:r>
    </w:p>
    <w:p w14:paraId="7DFA74DC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Развитие культуры в муниципальном образовании «Катангский район» на 2019-2024 годы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0C621AEE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AAFCB71" w14:textId="04E8F18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«Развитие культуры в муниципальном образовании «Катангский район» на 2019-2024 годы» утверждена постановлением администрации муниципального образования «Катангский район» от 14 ноября 2018 года № 288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 w:rsidRPr="004555BD">
        <w:rPr>
          <w:rFonts w:ascii="Times New Roman" w:hAnsi="Times New Roman"/>
          <w:sz w:val="26"/>
          <w:szCs w:val="26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4555BD">
        <w:rPr>
          <w:rFonts w:ascii="Times New Roman" w:hAnsi="Times New Roman"/>
          <w:sz w:val="26"/>
          <w:szCs w:val="26"/>
        </w:rPr>
        <w:t>7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351C839F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F22EE0" w14:textId="77777777" w:rsidR="005D3A92" w:rsidRPr="004555BD" w:rsidRDefault="005D3A92" w:rsidP="005D3A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Таблица 7. Ресурсное обеспечение муниципальной программы «Развитие культуры в муниципальном образовании «Катангский район» на 2019-2024 годы»</w:t>
      </w:r>
    </w:p>
    <w:p w14:paraId="1ED4277F" w14:textId="77777777" w:rsidR="005D3A92" w:rsidRPr="004555BD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00"/>
        <w:gridCol w:w="1696"/>
        <w:gridCol w:w="1566"/>
        <w:gridCol w:w="1566"/>
      </w:tblGrid>
      <w:tr w:rsidR="005D3A92" w:rsidRPr="0040604D" w14:paraId="5539706A" w14:textId="77777777" w:rsidTr="00993D48">
        <w:trPr>
          <w:trHeight w:val="301"/>
          <w:tblHeader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7CE" w14:textId="77777777" w:rsidR="005D3A92" w:rsidRPr="00EA4D99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D6B" w14:textId="58B97BF6" w:rsidR="005D3A92" w:rsidRPr="00EA4D99" w:rsidRDefault="005D3A92" w:rsidP="0019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6ECA"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4B4" w14:textId="3CEF8338" w:rsidR="005D3A92" w:rsidRPr="00EA4D99" w:rsidRDefault="005D3A92" w:rsidP="0019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6ECA"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E7E" w14:textId="7F79D820" w:rsidR="005D3A92" w:rsidRPr="00EA4D99" w:rsidRDefault="005D3A92" w:rsidP="0019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6ECA"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3A92" w:rsidRPr="0040604D" w14:paraId="024B40DA" w14:textId="77777777" w:rsidTr="00993D48">
        <w:trPr>
          <w:trHeight w:val="272"/>
          <w:tblHeader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67C7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BE5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186C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C4F9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3D48" w:rsidRPr="0040604D" w14:paraId="537E57A4" w14:textId="77777777" w:rsidTr="00993D48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AE1C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«Катангский район» на 2019-2024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2384" w14:textId="61224FF7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49 059,8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6A66" w14:textId="7C628E8B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51 433,0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B707" w14:textId="211326F2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53 607,3</w:t>
            </w:r>
          </w:p>
        </w:tc>
      </w:tr>
      <w:tr w:rsidR="00993D48" w:rsidRPr="0040604D" w14:paraId="478E1AE5" w14:textId="77777777" w:rsidTr="00993D48">
        <w:trPr>
          <w:trHeight w:val="27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0F16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9" w:name="_Hlk87604111"/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библиотечного, справочного и информационного обслуживания населения»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9708" w14:textId="0F12D92D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18 788,4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F827" w14:textId="6C036633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18 972,0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DFBC" w14:textId="7B0C472B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19 382,7</w:t>
            </w:r>
          </w:p>
        </w:tc>
      </w:tr>
      <w:bookmarkEnd w:id="9"/>
      <w:tr w:rsidR="00993D48" w:rsidRPr="0040604D" w14:paraId="0A08EF2F" w14:textId="77777777" w:rsidTr="00993D48">
        <w:trPr>
          <w:trHeight w:val="407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96BD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9870" w14:textId="6AB724FC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3 068,0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0156" w14:textId="5974AE88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3 118,1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3BCC" w14:textId="648FC883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3 652,7</w:t>
            </w:r>
          </w:p>
        </w:tc>
      </w:tr>
      <w:tr w:rsidR="00993D48" w:rsidRPr="0040604D" w14:paraId="085DACB6" w14:textId="77777777" w:rsidTr="00993D48">
        <w:trPr>
          <w:trHeight w:val="37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8B09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8B26" w14:textId="343830DC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23 963,0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F118" w14:textId="6C5888EC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25 972,8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9B6" w14:textId="698669A5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26 787,6</w:t>
            </w:r>
          </w:p>
        </w:tc>
      </w:tr>
      <w:tr w:rsidR="00993D48" w:rsidRPr="0040604D" w14:paraId="6F8C811B" w14:textId="77777777" w:rsidTr="00993D48">
        <w:trPr>
          <w:trHeight w:val="29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3AF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0" w:name="_Hlk87604697"/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8193" w14:textId="54F0C812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3 240,4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DCA9" w14:textId="1B89A6B2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3 370,1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2DC3" w14:textId="0ACCAFF1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3 784,3</w:t>
            </w:r>
          </w:p>
        </w:tc>
      </w:tr>
      <w:bookmarkEnd w:id="10"/>
    </w:tbl>
    <w:p w14:paraId="7C41DEE4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0DB39" w14:textId="2DFFE0E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финансового обеспечения реализации муниципальной программы из районного бюджета на 202</w:t>
      </w:r>
      <w:r w:rsidR="00993D48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r w:rsidR="00993D48" w:rsidRPr="004555BD">
        <w:rPr>
          <w:rFonts w:ascii="Times New Roman" w:eastAsia="Times New Roman" w:hAnsi="Times New Roman"/>
          <w:sz w:val="26"/>
          <w:szCs w:val="26"/>
          <w:lang w:eastAsia="ru-RU"/>
        </w:rPr>
        <w:t>49 059,8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51 433,0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53 607,3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</w:p>
    <w:p w14:paraId="4FB6E010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 рамках муниципальной программы предусмотрены реализация следующих подпрограмм:</w:t>
      </w:r>
    </w:p>
    <w:p w14:paraId="35BEB528" w14:textId="0826E913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1) «Организация библиотечного, справочного и информационного обслуживания населения», расходы составят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18 788,4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18 972,0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19 382,7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70389638" w14:textId="27559DD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организацию и предоставление услуг в сфере библиотечного обслуживания населения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18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 788,4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18 972,0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19 382,7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  <w:r w:rsidR="00750F8C" w:rsidRPr="004555BD">
        <w:rPr>
          <w:sz w:val="26"/>
          <w:szCs w:val="26"/>
        </w:rPr>
        <w:t xml:space="preserve"> </w:t>
      </w:r>
    </w:p>
    <w:p w14:paraId="45E7E89D" w14:textId="2C6F97A8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комплектование библиотечных фондов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34,6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 ежегодно,</w:t>
      </w:r>
      <w:r w:rsidR="00750F8C" w:rsidRPr="004555BD">
        <w:rPr>
          <w:sz w:val="26"/>
          <w:szCs w:val="26"/>
        </w:rPr>
        <w:t xml:space="preserve"> </w:t>
      </w:r>
    </w:p>
    <w:p w14:paraId="6CD3BC0E" w14:textId="6F6262A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2) «Организация музейного обслуживания населения Катангского района» расходы составят </w:t>
      </w:r>
      <w:bookmarkStart w:id="11" w:name="_Hlk55556129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3 068,0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3 118,1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3 652,7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bookmarkEnd w:id="11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11E249F1" w14:textId="421EDF7A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организацию и предоставление услуг в сфере музейного обслуживания населения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3 068,0 тыс. рублей, на 2023 год 3 118,1 тыс. рублей, на 2024 год 3 652,7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13B68E9" w14:textId="1E208D2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3) «Организация досуга населения, развитие и поддержка народного творчества», расходы составят </w:t>
      </w:r>
      <w:bookmarkStart w:id="12" w:name="_Hlk55556252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23 963,0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25 972,8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26 787,6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bookmarkEnd w:id="12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в том числе предусмотрены расходы на:</w:t>
      </w:r>
      <w:r w:rsidR="00750F8C" w:rsidRPr="004555BD">
        <w:rPr>
          <w:sz w:val="26"/>
          <w:szCs w:val="26"/>
        </w:rPr>
        <w:t xml:space="preserve"> </w:t>
      </w:r>
    </w:p>
    <w:p w14:paraId="4F347BA0" w14:textId="0CDEE2CA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организацию и предоставление услуг в сфере культурно-массовых, досуговых и просветительских мероприятий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23 963,0 тыс. рублей, на 2023 год 25 972,8 тыс. рублей, на 2024 год 26 787,6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B777FD2" w14:textId="1DF3C58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4) «Обеспечение реализации муниципальной программы», расходы составят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3 240,4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370,1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3 784,3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</w:p>
    <w:p w14:paraId="226F54D6" w14:textId="4D1317F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обеспечение деятельности муниципального отдела по развитию культуры, молодежной политике и спорту, расходы составят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3 090,4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3 220,1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3 634,3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24165C67" w14:textId="708C6A6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созданию условий для развития физической культуры и спорта», расходы составят по 150 тыс. рублей ежегодно.</w:t>
      </w:r>
      <w:r w:rsidR="00520AC7" w:rsidRPr="004555BD">
        <w:rPr>
          <w:sz w:val="26"/>
          <w:szCs w:val="26"/>
        </w:rPr>
        <w:t xml:space="preserve"> </w:t>
      </w:r>
    </w:p>
    <w:p w14:paraId="08E399E9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E9445DB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55BD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14:paraId="39489D9A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55BD">
        <w:rPr>
          <w:rFonts w:ascii="Times New Roman" w:hAnsi="Times New Roman"/>
          <w:b/>
          <w:sz w:val="26"/>
          <w:szCs w:val="26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Управление муниципальными финансами в муниципальном образовании «Катангский район» на 2019-2024 годы</w:t>
      </w:r>
      <w:r w:rsidRPr="004555BD">
        <w:rPr>
          <w:rFonts w:ascii="Times New Roman" w:hAnsi="Times New Roman"/>
          <w:b/>
          <w:sz w:val="26"/>
          <w:szCs w:val="26"/>
        </w:rPr>
        <w:t>»</w:t>
      </w:r>
    </w:p>
    <w:p w14:paraId="31D2FBE1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36EFDF" w14:textId="5ECCDAFA" w:rsidR="00520AC7" w:rsidRPr="004555BD" w:rsidRDefault="005D3A92" w:rsidP="0052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Муниципальная программа «Управление муниципальными финансами в муниципальном образовании «Катангский район» на 2019-2024 годы»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утверждена постановлением администрации муниципального образования «Катангский район» от 14 ноября 2018 года № 289-п</w:t>
      </w:r>
      <w:r w:rsidRPr="004555BD">
        <w:rPr>
          <w:rFonts w:ascii="Times New Roman" w:hAnsi="Times New Roman"/>
          <w:sz w:val="26"/>
          <w:szCs w:val="26"/>
        </w:rPr>
        <w:t>.</w:t>
      </w:r>
      <w:r w:rsidR="00520AC7" w:rsidRPr="004555BD">
        <w:rPr>
          <w:sz w:val="26"/>
          <w:szCs w:val="26"/>
        </w:rPr>
        <w:t xml:space="preserve"> </w:t>
      </w:r>
    </w:p>
    <w:p w14:paraId="0C55D642" w14:textId="429E9DA2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Общий объем финансового обеспечения реализации муниципальной программы составит 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47 180,2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58 905,9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49 139,3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 xml:space="preserve">,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исполнение бюджета и сметы, расходы составят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165,8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 xml:space="preserve"> ежегодно.</w:t>
      </w:r>
    </w:p>
    <w:p w14:paraId="54096350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 рамках муниципальной программы предусмотрены реализация следующих подпрограмм:</w:t>
      </w:r>
    </w:p>
    <w:p w14:paraId="0733DCE4" w14:textId="7D1FC7DA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1) «Выравнивание уровня бюджетной обеспеченности поселений Катангского района», расходы составят </w:t>
      </w:r>
      <w:bookmarkStart w:id="13" w:name="_Hlk55556570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24 501,4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36 406,0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25 841,5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bookmarkEnd w:id="13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6BADCEB9" w14:textId="2D4191D8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выравнивание уровня бюджетной обеспеченности поселений за счет средств местного бюджета, расходы составят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23 751,8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24 771,6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25 200,7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, за счет средств областного бюджета расходы составят на 2022 год 749,6 тыс. рублей, на 2023 год 11 634,4 тыс. рублей, на 2024 год 640,8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5E07C62" w14:textId="5AD650F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2) «Формирование, исполнение и контроль за исполнением бюджета и сметы, ведения бухгалтерского учета», расходы составят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22 678,9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22 499,9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23 297,8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  <w:r w:rsidR="00520AC7" w:rsidRPr="004555BD">
        <w:rPr>
          <w:sz w:val="26"/>
          <w:szCs w:val="26"/>
        </w:rPr>
        <w:t xml:space="preserve"> </w:t>
      </w:r>
    </w:p>
    <w:p w14:paraId="101061BE" w14:textId="72BD14D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обеспечение деятельности финансового управления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18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510,1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18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334,1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19 132,0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5F827AF5" w14:textId="4232C825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реализацию переданных полномочий по формированию, исполнению и контролю за исполнением бюджетов и смет поселений Катангского района расходы составят 4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165,8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ежегодно.</w:t>
      </w:r>
    </w:p>
    <w:p w14:paraId="2BB3E70A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B342E6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0B1A4A59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Безопасный город» на 2019-2024 годы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0AA2F52D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8A485B5" w14:textId="77777777" w:rsidR="005D3A92" w:rsidRPr="004555BD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</w:t>
      </w:r>
      <w:r w:rsidRPr="004555BD">
        <w:rPr>
          <w:rFonts w:ascii="Times New Roman" w:eastAsia="MS Mincho" w:hAnsi="Times New Roman"/>
          <w:bCs/>
          <w:sz w:val="26"/>
          <w:szCs w:val="26"/>
          <w:lang w:eastAsia="ru-RU"/>
        </w:rPr>
        <w:t>Безопасный город» на 2019-2024 годы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 утверждена постановлением администрации муниципального образования «Катангский район» от 14 ноября 2018 года № 290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п.</w:t>
      </w:r>
    </w:p>
    <w:p w14:paraId="4AAA39BC" w14:textId="06B23FB2" w:rsidR="005D3A92" w:rsidRPr="004555BD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F75B7FC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2044D1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Таблица 8. Ресурсное обеспечение муниципальной программы «</w:t>
      </w:r>
      <w:r w:rsidRPr="004555BD">
        <w:rPr>
          <w:rFonts w:ascii="Times New Roman" w:eastAsia="MS Mincho" w:hAnsi="Times New Roman"/>
          <w:bCs/>
          <w:sz w:val="26"/>
          <w:szCs w:val="26"/>
          <w:lang w:eastAsia="ru-RU"/>
        </w:rPr>
        <w:t>Безопасный город» на 2019-2024 годы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0AFCF2F3" w14:textId="77777777" w:rsidR="005D3A92" w:rsidRPr="004555BD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3"/>
        <w:gridCol w:w="1417"/>
        <w:gridCol w:w="1417"/>
        <w:gridCol w:w="1411"/>
      </w:tblGrid>
      <w:tr w:rsidR="00EA4D99" w:rsidRPr="0040604D" w14:paraId="7F45F581" w14:textId="77777777" w:rsidTr="00BD4BEA">
        <w:trPr>
          <w:trHeight w:val="301"/>
          <w:tblHeader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2C5" w14:textId="77777777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5C6" w14:textId="25099521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E57" w14:textId="63725F0B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82D" w14:textId="0108E611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D3A92" w:rsidRPr="0040604D" w14:paraId="15C77001" w14:textId="77777777" w:rsidTr="00BD4BEA">
        <w:trPr>
          <w:trHeight w:val="272"/>
          <w:tblHeader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9EE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F0E0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8ACF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DAFA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4BEA" w:rsidRPr="0040604D" w14:paraId="576AF3C2" w14:textId="77777777" w:rsidTr="00BD4BEA">
        <w:trPr>
          <w:trHeight w:val="363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9F45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  <w:t>Безопасный город» на 2019-2024 годы</w:t>
            </w: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9CA" w14:textId="6B647DA4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5 791,3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CE6A" w14:textId="4F59C745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6 371,3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7ECB" w14:textId="727D60F1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6 391,3</w:t>
            </w:r>
          </w:p>
        </w:tc>
      </w:tr>
      <w:tr w:rsidR="00BD4BEA" w:rsidRPr="0040604D" w14:paraId="6EE4BA9F" w14:textId="77777777" w:rsidTr="00BD4BEA">
        <w:trPr>
          <w:trHeight w:val="546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44A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DA6B" w14:textId="58A89D6A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5 564,3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050D" w14:textId="784524E2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6 144,3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6D2" w14:textId="4432E00E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6 164,3</w:t>
            </w:r>
          </w:p>
        </w:tc>
      </w:tr>
      <w:tr w:rsidR="00BD4BEA" w:rsidRPr="0040604D" w14:paraId="401E2D9C" w14:textId="77777777" w:rsidTr="00BD4BEA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58C7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«Защита населения и территории Катангского района от чрезвычайных ситуаций»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D3E" w14:textId="60C857B1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09EC" w14:textId="241DEC97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7A0" w14:textId="3F0CC86E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</w:tr>
    </w:tbl>
    <w:p w14:paraId="19652D8B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90E637" w14:textId="77374E61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финансового обеспечения реализации муниципальной программы, расходы составят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5 791,3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6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371,3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6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391,3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14:paraId="26DCB914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рамках муниципальной программы предусмотрена реализация следующих подпрограмм:</w:t>
      </w:r>
    </w:p>
    <w:p w14:paraId="7CB4F9B9" w14:textId="20D91AC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1) «</w:t>
      </w:r>
      <w:r w:rsidRPr="004555BD">
        <w:rPr>
          <w:rFonts w:ascii="Times New Roman" w:hAnsi="Times New Roman"/>
          <w:bCs/>
          <w:sz w:val="26"/>
          <w:szCs w:val="26"/>
        </w:rPr>
        <w:t>Построение и развитие аппаратно-программного комплекса «Безопасный город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», расходы составят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5 564,3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6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144,3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6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164,3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  <w:r w:rsidR="00BD4BEA" w:rsidRPr="004555BD">
        <w:rPr>
          <w:sz w:val="26"/>
          <w:szCs w:val="26"/>
        </w:rPr>
        <w:t xml:space="preserve"> </w:t>
      </w:r>
    </w:p>
    <w:p w14:paraId="45DD16A8" w14:textId="495018E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обеспечение деятельности Единой дежурно-диспетчерской службы Катангского района,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5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519,3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6 094,3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6 099,3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4DBB0CF6" w14:textId="77C535B8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материально-техническое обеспечение Единой дежурно-диспетчерской службы Катангского района,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составят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1BED22B8" w14:textId="2736AAE6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2) «</w:t>
      </w:r>
      <w:r w:rsidRPr="004555BD">
        <w:rPr>
          <w:rFonts w:ascii="Times New Roman" w:hAnsi="Times New Roman"/>
          <w:bCs/>
          <w:sz w:val="26"/>
          <w:szCs w:val="26"/>
        </w:rPr>
        <w:t>Защита населения и территории Катангского района от чрезвычайных ситуаций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», расходы составят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по 227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ежегодно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7359AF27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подготовку и переподготовку должностных лиц по программам ГО и ЧС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по 27,0 тыс. рублей ежегодно;</w:t>
      </w:r>
    </w:p>
    <w:p w14:paraId="52A161DB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ликвидацию последствий чрезвычайных ситуаций за счет средств Резервного фонда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по 200,0 тыс. рублей ежегодно;</w:t>
      </w:r>
    </w:p>
    <w:p w14:paraId="41E55865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67CEED7" w14:textId="4800EBE0" w:rsidR="005D3A92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665BF1F" w14:textId="686204CA" w:rsidR="00DB3B86" w:rsidRDefault="00DB3B86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5EB53E" w14:textId="77777777" w:rsidR="00DB3B86" w:rsidRPr="004555BD" w:rsidRDefault="00DB3B86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1E360E8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Муниципальная программа</w:t>
      </w:r>
    </w:p>
    <w:p w14:paraId="1B0983F8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«Экономическое развитие муниципального образования «Катангский район» на 2019-2024 годы»</w:t>
      </w:r>
    </w:p>
    <w:p w14:paraId="571872D8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FFAB9AF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«Экономическое развитие муниципального образования «Катангский район» на 2019-2024 годы» утверждена постановлением администрации муниципального образования «Катангский район» от 14 ноября 2018 года № 281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п.</w:t>
      </w:r>
    </w:p>
    <w:p w14:paraId="30B25A06" w14:textId="4DCCC6FD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5345DCA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FEDE69" w14:textId="77777777" w:rsidR="005D3A92" w:rsidRPr="004555BD" w:rsidRDefault="005D3A92" w:rsidP="005D3A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Таблица 9. Ресурсное обеспечение муниципальной программы «Экономическое развитие муниципального образования «Катангский район» на 2019-2024 годы»</w:t>
      </w:r>
    </w:p>
    <w:p w14:paraId="40A71552" w14:textId="77777777" w:rsidR="005D3A92" w:rsidRPr="004555BD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5"/>
        <w:gridCol w:w="1677"/>
        <w:gridCol w:w="1777"/>
        <w:gridCol w:w="1779"/>
      </w:tblGrid>
      <w:tr w:rsidR="00EA4D99" w:rsidRPr="0040604D" w14:paraId="5B64B194" w14:textId="77777777" w:rsidTr="006B10A6">
        <w:trPr>
          <w:trHeight w:val="301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6F3" w14:textId="77777777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226" w14:textId="704EA670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EE5" w14:textId="745BD00F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107" w14:textId="060F3E3F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D3A92" w:rsidRPr="0040604D" w14:paraId="6A8D60C3" w14:textId="77777777" w:rsidTr="006B10A6">
        <w:trPr>
          <w:trHeight w:val="272"/>
          <w:tblHeader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44E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07F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C202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B9D0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4BEA" w:rsidRPr="0040604D" w14:paraId="652751D3" w14:textId="77777777" w:rsidTr="00356DA7">
        <w:trPr>
          <w:trHeight w:val="254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10F3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«Экономическое развитие муниципального образования «Катангский район» на 2019-2024 годы»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1AA2" w14:textId="3DB62E19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159 956,5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A952" w14:textId="2B129911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150 298,0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7AEA" w14:textId="686A8763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156 826,5</w:t>
            </w:r>
          </w:p>
        </w:tc>
      </w:tr>
      <w:tr w:rsidR="00BD4BEA" w:rsidRPr="0040604D" w14:paraId="77B5D3B3" w14:textId="77777777" w:rsidTr="00356DA7">
        <w:trPr>
          <w:trHeight w:val="272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E4B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59A3" w14:textId="6DE19BB5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116 438,8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AC9C" w14:textId="6691CE87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105 058,6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DA2E" w14:textId="4051168B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109 951,1</w:t>
            </w:r>
          </w:p>
        </w:tc>
      </w:tr>
      <w:tr w:rsidR="00BD4BEA" w:rsidRPr="0040604D" w14:paraId="3BCAE4C3" w14:textId="77777777" w:rsidTr="00356DA7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4B0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«Создание условий для устойчивого экономического развития»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44C1" w14:textId="3ACDA20B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18 349,8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829" w14:textId="6D3193C1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19 005,1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F1A4" w14:textId="34732050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18 786,3</w:t>
            </w:r>
          </w:p>
        </w:tc>
      </w:tr>
      <w:tr w:rsidR="00BD4BEA" w:rsidRPr="0040604D" w14:paraId="6C74D619" w14:textId="77777777" w:rsidTr="00356DA7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F1EA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дорожного хозяйства»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9F7D" w14:textId="2DBB8796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24 601,8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2D17" w14:textId="46E50D5B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25 668,2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AB6A" w14:textId="5A2224AA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27 523,0</w:t>
            </w:r>
          </w:p>
        </w:tc>
      </w:tr>
      <w:tr w:rsidR="00BD4BEA" w:rsidRPr="0040604D" w14:paraId="7A282269" w14:textId="77777777" w:rsidTr="00356DA7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800E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8669" w14:textId="7FE371CF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566,1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1E25" w14:textId="240CDFDC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566,1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4D87" w14:textId="73E1590F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566,1</w:t>
            </w:r>
          </w:p>
        </w:tc>
      </w:tr>
    </w:tbl>
    <w:p w14:paraId="70BD0556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82A35D" w14:textId="7CC27A8B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финансового обеспечения реализации муниципальной программы </w:t>
      </w: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59 956,5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150 298,0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156 826,5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 xml:space="preserve">, из них за счет средств областного бюджета расходы 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555BD">
        <w:rPr>
          <w:rFonts w:ascii="Times New Roman" w:hAnsi="Times New Roman"/>
          <w:sz w:val="26"/>
          <w:szCs w:val="26"/>
        </w:rPr>
        <w:t>4</w:t>
      </w:r>
      <w:r w:rsidR="00BD4BEA" w:rsidRPr="004555BD">
        <w:rPr>
          <w:rFonts w:ascii="Times New Roman" w:hAnsi="Times New Roman"/>
          <w:sz w:val="26"/>
          <w:szCs w:val="26"/>
        </w:rPr>
        <w:t>0 931,7</w:t>
      </w:r>
      <w:r w:rsidRPr="004555BD">
        <w:rPr>
          <w:rFonts w:ascii="Times New Roman" w:hAnsi="Times New Roman"/>
          <w:sz w:val="26"/>
          <w:szCs w:val="26"/>
        </w:rPr>
        <w:t xml:space="preserve">  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="005E05B1" w:rsidRPr="004555BD">
        <w:rPr>
          <w:rFonts w:ascii="Times New Roman" w:hAnsi="Times New Roman"/>
          <w:sz w:val="26"/>
          <w:szCs w:val="26"/>
        </w:rPr>
        <w:t>20 856,9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E05B1" w:rsidRPr="004555BD">
        <w:rPr>
          <w:rFonts w:ascii="Times New Roman" w:hAnsi="Times New Roman"/>
          <w:sz w:val="26"/>
          <w:szCs w:val="26"/>
        </w:rPr>
        <w:t>20 683,0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hAnsi="Times New Roman"/>
          <w:sz w:val="26"/>
          <w:szCs w:val="26"/>
        </w:rPr>
        <w:t>.</w:t>
      </w:r>
      <w:r w:rsidRPr="004555BD">
        <w:rPr>
          <w:rFonts w:ascii="Times New Roman" w:hAnsi="Times New Roman"/>
          <w:sz w:val="26"/>
          <w:szCs w:val="26"/>
        </w:rPr>
        <w:tab/>
        <w:t xml:space="preserve"> </w:t>
      </w:r>
    </w:p>
    <w:p w14:paraId="14C1E8A6" w14:textId="383DFE34" w:rsidR="005D3A92" w:rsidRPr="00044D45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В рамках муниципальной </w:t>
      </w:r>
      <w:r w:rsidRPr="00044D45">
        <w:rPr>
          <w:rFonts w:ascii="Times New Roman" w:hAnsi="Times New Roman"/>
          <w:sz w:val="26"/>
          <w:szCs w:val="26"/>
        </w:rPr>
        <w:t>программы предусмотрена реализация следующих подпрограмм:</w:t>
      </w:r>
      <w:r w:rsidR="005E05B1" w:rsidRPr="00044D45">
        <w:rPr>
          <w:sz w:val="26"/>
          <w:szCs w:val="26"/>
        </w:rPr>
        <w:t xml:space="preserve"> </w:t>
      </w:r>
    </w:p>
    <w:p w14:paraId="6E06F52E" w14:textId="02D4C95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>1) «</w:t>
      </w:r>
      <w:r w:rsidRPr="00044D45">
        <w:rPr>
          <w:rFonts w:ascii="Times New Roman" w:hAnsi="Times New Roman"/>
          <w:bCs/>
          <w:sz w:val="26"/>
          <w:szCs w:val="26"/>
        </w:rPr>
        <w:t>Выполнение полномочий органов местного самоуправления в соответствии с действующим законодательством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>», расходы составят на 202</w:t>
      </w:r>
      <w:r w:rsidR="005E05B1" w:rsidRPr="00044D4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E05B1" w:rsidRPr="00044D45">
        <w:rPr>
          <w:rFonts w:ascii="Times New Roman" w:eastAsia="Times New Roman" w:hAnsi="Times New Roman"/>
          <w:sz w:val="26"/>
          <w:szCs w:val="26"/>
          <w:lang w:eastAsia="ru-RU"/>
        </w:rPr>
        <w:t>116 438,8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E05B1" w:rsidRPr="00044D4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E05B1" w:rsidRPr="00044D45">
        <w:rPr>
          <w:rFonts w:ascii="Times New Roman" w:eastAsia="Times New Roman" w:hAnsi="Times New Roman"/>
          <w:sz w:val="26"/>
          <w:szCs w:val="26"/>
          <w:lang w:eastAsia="ru-RU"/>
        </w:rPr>
        <w:t>105 058,6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E05B1" w:rsidRPr="00044D4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E05B1" w:rsidRPr="00044D45">
        <w:rPr>
          <w:rFonts w:ascii="Times New Roman" w:eastAsia="Times New Roman" w:hAnsi="Times New Roman"/>
          <w:sz w:val="26"/>
          <w:szCs w:val="26"/>
          <w:lang w:eastAsia="ru-RU"/>
        </w:rPr>
        <w:t>109 951,1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</w:p>
    <w:p w14:paraId="1BF8CD7D" w14:textId="7EBB641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обеспечение и развитие муниципальной службы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по 3 068,5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5E05B1" w:rsidRPr="004555BD">
        <w:rPr>
          <w:sz w:val="26"/>
          <w:szCs w:val="26"/>
        </w:rPr>
        <w:t xml:space="preserve"> </w:t>
      </w:r>
    </w:p>
    <w:p w14:paraId="32EFFDEA" w14:textId="0236788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создание благоприятных условий для привлечения и закрепления в районе профессиональных кадров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420,0 тыс. рублей, на 2023 год 198,3 тыс. рублей, на 2024 год 670,0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BECDB1E" w14:textId="53C94566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реализацию мероприятий по противодействию коррупции расходы составят на 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16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1716E7">
        <w:rPr>
          <w:rFonts w:ascii="Times New Roman" w:eastAsia="Times New Roman" w:hAnsi="Times New Roman"/>
          <w:sz w:val="26"/>
          <w:szCs w:val="26"/>
          <w:lang w:eastAsia="ru-RU"/>
        </w:rPr>
        <w:t>, на 2024 год 10 тыс. рублей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89ED0F7" w14:textId="60184E85" w:rsidR="005D3A92" w:rsidRDefault="005D3A92" w:rsidP="005D3A9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обеспечение реализации полномочий органов местного самоуправления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составят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716E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2 253,0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101 144,4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105 555,2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  <w:r w:rsidR="001678B2" w:rsidRPr="004555BD">
        <w:rPr>
          <w:sz w:val="26"/>
          <w:szCs w:val="26"/>
        </w:rPr>
        <w:t xml:space="preserve"> </w:t>
      </w:r>
    </w:p>
    <w:p w14:paraId="1F89317D" w14:textId="50D255BD" w:rsidR="001716E7" w:rsidRPr="004555BD" w:rsidRDefault="001716E7" w:rsidP="005D3A9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1716E7">
        <w:rPr>
          <w:rFonts w:ascii="Times New Roman" w:eastAsia="Times New Roman" w:hAnsi="Times New Roman"/>
          <w:bCs/>
          <w:sz w:val="26"/>
          <w:szCs w:val="26"/>
          <w:lang w:eastAsia="ru-RU"/>
        </w:rPr>
        <w:t>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</w:t>
      </w:r>
      <w:r w:rsidR="00044D45">
        <w:rPr>
          <w:rFonts w:ascii="Times New Roman" w:eastAsia="Times New Roman" w:hAnsi="Times New Roman"/>
          <w:bCs/>
          <w:sz w:val="26"/>
          <w:szCs w:val="26"/>
          <w:lang w:eastAsia="ru-RU"/>
        </w:rPr>
        <w:t>, расходы составят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2022-2024 года по 647,4 тыс. рублей ежегодно.</w:t>
      </w:r>
    </w:p>
    <w:p w14:paraId="3CF4E4F1" w14:textId="77777777" w:rsidR="00532CBB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2) «Создание условий для устойчивого экономического развития»,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год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18 349,8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19 005,1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18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 786,3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</w:t>
      </w:r>
      <w:r w:rsidR="00532CB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9DF0A23" w14:textId="4C2FEB41" w:rsidR="00532CBB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Pr="00044D45">
        <w:rPr>
          <w:rFonts w:ascii="Times New Roman" w:hAnsi="Times New Roman"/>
          <w:sz w:val="26"/>
          <w:szCs w:val="26"/>
        </w:rPr>
        <w:t>еново</w:t>
      </w:r>
      <w:r w:rsidR="00532CBB">
        <w:rPr>
          <w:rFonts w:ascii="Times New Roman" w:hAnsi="Times New Roman"/>
          <w:sz w:val="26"/>
          <w:szCs w:val="26"/>
        </w:rPr>
        <w:t>е</w:t>
      </w:r>
      <w:r w:rsidRPr="00044D45">
        <w:rPr>
          <w:rFonts w:ascii="Times New Roman" w:hAnsi="Times New Roman"/>
          <w:sz w:val="26"/>
          <w:szCs w:val="26"/>
        </w:rPr>
        <w:t xml:space="preserve"> регулировани</w:t>
      </w:r>
      <w:r w:rsidR="00532CBB">
        <w:rPr>
          <w:rFonts w:ascii="Times New Roman" w:hAnsi="Times New Roman"/>
          <w:sz w:val="26"/>
          <w:szCs w:val="26"/>
        </w:rPr>
        <w:t>е</w:t>
      </w:r>
      <w:r w:rsidRPr="00044D45">
        <w:rPr>
          <w:rFonts w:ascii="Times New Roman" w:hAnsi="Times New Roman"/>
          <w:sz w:val="26"/>
          <w:szCs w:val="26"/>
        </w:rPr>
        <w:t xml:space="preserve"> предоставления услуг на территории муниципального образования «Катангский район» по </w:t>
      </w:r>
      <w:r w:rsidR="001678B2" w:rsidRPr="00044D45">
        <w:rPr>
          <w:rFonts w:ascii="Times New Roman" w:hAnsi="Times New Roman"/>
          <w:sz w:val="26"/>
          <w:szCs w:val="26"/>
        </w:rPr>
        <w:t>1040</w:t>
      </w:r>
      <w:r w:rsidRPr="00044D45">
        <w:rPr>
          <w:rFonts w:ascii="Times New Roman" w:hAnsi="Times New Roman"/>
          <w:sz w:val="26"/>
          <w:szCs w:val="26"/>
        </w:rPr>
        <w:t xml:space="preserve"> тыс. рублей ежегодно</w:t>
      </w:r>
      <w:r w:rsidR="00532CBB">
        <w:rPr>
          <w:rFonts w:ascii="Times New Roman" w:hAnsi="Times New Roman"/>
          <w:sz w:val="26"/>
          <w:szCs w:val="26"/>
        </w:rPr>
        <w:t>;</w:t>
      </w:r>
    </w:p>
    <w:p w14:paraId="4FC336A5" w14:textId="2C6452F8" w:rsidR="005D3A92" w:rsidRPr="00044D45" w:rsidRDefault="00532CBB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B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частичного возмещения транспортных расходов юридических лиц и индивидуальных предпринимателей, осуществляющих торговую деятельность и доставку товаров первой необходимости в поселения, согласно перечню продовольственных товаров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на 2022 год 17309,8 тыс. рублей, на 2023 год 17 965,1 тыс. рублей, на 2024 год  17 746,3 тыс. рублей</w:t>
      </w:r>
      <w:r w:rsidR="005D3A92" w:rsidRPr="00044D45">
        <w:rPr>
          <w:rFonts w:ascii="Times New Roman" w:hAnsi="Times New Roman"/>
          <w:sz w:val="26"/>
          <w:szCs w:val="26"/>
        </w:rPr>
        <w:t>.</w:t>
      </w:r>
      <w:r w:rsidR="001678B2" w:rsidRPr="00044D45">
        <w:rPr>
          <w:sz w:val="26"/>
          <w:szCs w:val="26"/>
        </w:rPr>
        <w:t xml:space="preserve"> </w:t>
      </w:r>
    </w:p>
    <w:p w14:paraId="0F144A83" w14:textId="41A8FFD3" w:rsidR="005D3A92" w:rsidRPr="00044D45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45">
        <w:rPr>
          <w:rFonts w:ascii="Times New Roman" w:hAnsi="Times New Roman"/>
          <w:sz w:val="26"/>
          <w:szCs w:val="26"/>
        </w:rPr>
        <w:t xml:space="preserve">3) «Развитие дорожного хозяйства», 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на 2022 год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24 601,8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25 668,2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2024 год 27 523,0 тыс. рублей, 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>из них предусмотрены расходы на:</w:t>
      </w:r>
      <w:r w:rsidR="001678B2" w:rsidRPr="00044D45">
        <w:rPr>
          <w:sz w:val="26"/>
          <w:szCs w:val="26"/>
        </w:rPr>
        <w:t xml:space="preserve"> </w:t>
      </w:r>
    </w:p>
    <w:p w14:paraId="187B2CA7" w14:textId="5A1CED3F" w:rsidR="005D3A92" w:rsidRPr="00044D45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45">
        <w:rPr>
          <w:rFonts w:ascii="Times New Roman" w:hAnsi="Times New Roman"/>
          <w:sz w:val="26"/>
          <w:szCs w:val="26"/>
        </w:rPr>
        <w:t xml:space="preserve">расчистку и содержание автодорог 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22 101,8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23 168,2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25 023,0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486CCAD3" w14:textId="1F095C4F" w:rsidR="005D3A92" w:rsidRPr="00044D45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пассажирских перевозок на территории муниципального образования «Катангский район» расходы составят по 2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>00,0 тыс. рублей ежегодно</w:t>
      </w:r>
      <w:r w:rsidRPr="00044D45">
        <w:rPr>
          <w:rFonts w:ascii="Times New Roman" w:hAnsi="Times New Roman"/>
          <w:sz w:val="26"/>
          <w:szCs w:val="26"/>
        </w:rPr>
        <w:t>.</w:t>
      </w:r>
    </w:p>
    <w:p w14:paraId="10ADD76C" w14:textId="195CBBF5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45">
        <w:rPr>
          <w:rFonts w:ascii="Times New Roman" w:hAnsi="Times New Roman"/>
          <w:sz w:val="26"/>
          <w:szCs w:val="26"/>
        </w:rPr>
        <w:t xml:space="preserve">4) «Управление муниципальным имуществом», 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1678B2" w:rsidRPr="00044D45">
        <w:rPr>
          <w:rFonts w:ascii="Times New Roman" w:eastAsia="Times New Roman" w:hAnsi="Times New Roman"/>
          <w:sz w:val="26"/>
          <w:szCs w:val="26"/>
          <w:lang w:eastAsia="ru-RU"/>
        </w:rPr>
        <w:t>по 566,1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7C45DCD7" w14:textId="6825C83A" w:rsidR="001678B2" w:rsidRPr="004555BD" w:rsidRDefault="001678B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проведение мероприятий по технической инвентаризации, кадастровым работам в отношении муниципальных объектов недвижимости, расходы составят по 370,0 тыс. рублей ежегодно</w:t>
      </w:r>
      <w:r w:rsidR="00EE43C1" w:rsidRPr="004555BD">
        <w:rPr>
          <w:rFonts w:ascii="Times New Roman" w:hAnsi="Times New Roman"/>
          <w:sz w:val="26"/>
          <w:szCs w:val="26"/>
        </w:rPr>
        <w:t>;</w:t>
      </w:r>
    </w:p>
    <w:p w14:paraId="782E0ABF" w14:textId="0C7F40E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>проведение обязательной независимой оценки муниципальных объектов с целью последующей продажи (приватизации), передачи в аренду</w:t>
      </w:r>
      <w:r w:rsidR="00EE43C1" w:rsidRPr="004555BD">
        <w:rPr>
          <w:rFonts w:ascii="Times New Roman" w:hAnsi="Times New Roman"/>
          <w:sz w:val="26"/>
          <w:szCs w:val="26"/>
        </w:rPr>
        <w:t>,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по 30,0 тыс. рублей ежегодно;</w:t>
      </w:r>
    </w:p>
    <w:p w14:paraId="4D375ED8" w14:textId="063695B9" w:rsidR="001678B2" w:rsidRPr="004555BD" w:rsidRDefault="00EE43C1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беспечение пополнения, обновления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</w:t>
      </w:r>
      <w:r w:rsidR="00EA4D99" w:rsidRPr="004555BD">
        <w:rPr>
          <w:rFonts w:ascii="Times New Roman" w:eastAsia="Times New Roman" w:hAnsi="Times New Roman"/>
          <w:sz w:val="26"/>
          <w:szCs w:val="26"/>
          <w:lang w:eastAsia="ru-RU"/>
        </w:rPr>
        <w:t>имущества,</w:t>
      </w:r>
      <w:r w:rsidR="00EA4D99" w:rsidRPr="004555BD">
        <w:rPr>
          <w:rFonts w:ascii="Times New Roman" w:hAnsi="Times New Roman"/>
          <w:sz w:val="26"/>
          <w:szCs w:val="26"/>
        </w:rPr>
        <w:t xml:space="preserve"> составят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по 20,0 тыс. рублей ежегодно;</w:t>
      </w:r>
    </w:p>
    <w:p w14:paraId="66E4F32E" w14:textId="1C1C78F1" w:rsidR="00EE43C1" w:rsidRPr="004555BD" w:rsidRDefault="005D3A92" w:rsidP="00EE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информационно-техническое обеспечение выполнение полномочий органов местного самоуправление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, расходы составят по 146,1,0 тыс. рублей ежегодно.</w:t>
      </w:r>
    </w:p>
    <w:p w14:paraId="5645E583" w14:textId="77777777" w:rsidR="00EE43C1" w:rsidRPr="004555BD" w:rsidRDefault="00EE43C1" w:rsidP="00EE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29E371" w14:textId="35ED2D05" w:rsidR="005D3A92" w:rsidRPr="004555BD" w:rsidRDefault="005D3A92" w:rsidP="00EE4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62070CA3" w14:textId="77777777" w:rsidR="005D3A92" w:rsidRPr="004555BD" w:rsidRDefault="005D3A92" w:rsidP="00EE43C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«Социальное развитие муниципального образования «Катангский район» на 2019-2024 годы»</w:t>
      </w:r>
    </w:p>
    <w:p w14:paraId="437CB7F6" w14:textId="77777777" w:rsidR="005D3A92" w:rsidRPr="004555BD" w:rsidRDefault="005D3A92" w:rsidP="005D3A9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A2C10" w14:textId="77777777" w:rsidR="005D3A92" w:rsidRPr="004555BD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«Социальное развитие муниципального образования «Катангский район» на 2019-2024 годы» утверждена постановлением администрации муниципального образования «Катангский район» от 14 ноября 2018 года № 292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п.</w:t>
      </w:r>
    </w:p>
    <w:p w14:paraId="75693787" w14:textId="7C885722" w:rsidR="005D3A92" w:rsidRPr="004555BD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мероприятий муниципальной программы представлено в разрезе подпрограмм в таблице 1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0842E73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F6EE15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Таблица 10. Ресурсное обеспечение муниципальной программы «Социальное развитие муниципального образования «Катангский район» на 2019-2024 годы»</w:t>
      </w:r>
    </w:p>
    <w:p w14:paraId="21188295" w14:textId="77777777" w:rsidR="005D3A92" w:rsidRPr="004555BD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3"/>
        <w:gridCol w:w="1417"/>
        <w:gridCol w:w="1417"/>
        <w:gridCol w:w="1411"/>
      </w:tblGrid>
      <w:tr w:rsidR="00EA4D99" w:rsidRPr="0040604D" w14:paraId="44BC91BA" w14:textId="77777777" w:rsidTr="00EE43C1">
        <w:trPr>
          <w:trHeight w:val="301"/>
          <w:tblHeader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7A2" w14:textId="77777777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2F6" w14:textId="0DD347F2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1A6D" w14:textId="0EE05362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73E" w14:textId="3FAC5574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D3A92" w:rsidRPr="0040604D" w14:paraId="7A863920" w14:textId="77777777" w:rsidTr="00EE43C1">
        <w:trPr>
          <w:trHeight w:val="272"/>
          <w:tblHeader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5BFF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DCA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FB83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B778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E43C1" w:rsidRPr="0040604D" w14:paraId="5848F811" w14:textId="77777777" w:rsidTr="00EE43C1">
        <w:trPr>
          <w:trHeight w:val="330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8C38" w14:textId="77777777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4060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Социальное развитие муниципального образования «Катангский район» на 2019-2024 годы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031A" w14:textId="472973A2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695" w14:textId="41493DCD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6874" w14:textId="475C922B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671,7</w:t>
            </w:r>
          </w:p>
        </w:tc>
      </w:tr>
      <w:tr w:rsidR="00EE43C1" w:rsidRPr="0040604D" w14:paraId="3369E28D" w14:textId="77777777" w:rsidTr="00EE43C1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A6C" w14:textId="77777777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«Поддержка общественных организаций»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3754" w14:textId="1B81E421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9745" w14:textId="2A1ED2DA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DEF2" w14:textId="3A84811E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E43C1" w:rsidRPr="0040604D" w14:paraId="7BCCEB22" w14:textId="77777777" w:rsidTr="00EE43C1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FC9" w14:textId="26AE143F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«Доступная сред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7D37" w14:textId="0902D75E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6D7E" w14:textId="04E4C632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39B7" w14:textId="66F0BADF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E43C1" w:rsidRPr="0040604D" w14:paraId="05064E4C" w14:textId="77777777" w:rsidTr="00EE43C1">
        <w:trPr>
          <w:trHeight w:val="299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664" w14:textId="77777777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«Профилактика социально-негативных явлений»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1205" w14:textId="2E08DC9B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382,7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4839" w14:textId="24AC0D4F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76AB" w14:textId="1C091CEF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385,7</w:t>
            </w:r>
          </w:p>
        </w:tc>
      </w:tr>
      <w:tr w:rsidR="00EE43C1" w:rsidRPr="0040604D" w14:paraId="708054D0" w14:textId="77777777" w:rsidTr="00EE43C1">
        <w:trPr>
          <w:trHeight w:val="299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AB8" w14:textId="77777777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DF20" w14:textId="53A4234B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B940" w14:textId="7FA8945D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91EE" w14:textId="100A432D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E43C1" w:rsidRPr="0040604D" w14:paraId="179B1574" w14:textId="77777777" w:rsidTr="00EE43C1">
        <w:trPr>
          <w:trHeight w:val="299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C84" w14:textId="5E9FC79D" w:rsidR="00EE43C1" w:rsidRPr="00165CF8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3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E4FE" w14:textId="74BFDFD3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B139" w14:textId="7FFA9C1E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C674" w14:textId="4C443A3C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</w:tbl>
    <w:p w14:paraId="0642AB6C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B70B73" w14:textId="1A0F80BF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финансового обеспечения реализации муниципальной программы составит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594,7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511,5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671,7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 xml:space="preserve">, из них за счет средств областного бюджета расходы составят по </w:t>
      </w:r>
      <w:r w:rsidR="00EE43C1" w:rsidRPr="004555BD">
        <w:rPr>
          <w:rFonts w:ascii="Times New Roman" w:hAnsi="Times New Roman"/>
          <w:sz w:val="26"/>
          <w:szCs w:val="26"/>
        </w:rPr>
        <w:t>117,7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773F23F9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рамках муниципальной программы предусмотрена реализация следующих подпрограмм:</w:t>
      </w:r>
    </w:p>
    <w:p w14:paraId="4C54088F" w14:textId="7E949F3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1) «</w:t>
      </w:r>
      <w:r w:rsidRPr="004555BD">
        <w:rPr>
          <w:rFonts w:ascii="Times New Roman" w:hAnsi="Times New Roman"/>
          <w:bCs/>
          <w:sz w:val="26"/>
          <w:szCs w:val="26"/>
        </w:rPr>
        <w:t>Поддержка общественных организаций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», расходы составят </w:t>
      </w:r>
      <w:bookmarkStart w:id="14" w:name="_Hlk55559719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190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0,0 тыс. рублей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200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bookmarkEnd w:id="14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4ED92E97" w14:textId="7C8FBC58" w:rsidR="005D3A92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организацию и проведение информационно-пропагандистских мероприятий, направленных на интеграцию граждан старшего поколения в общественную жизнь,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0,0 тыс. рублей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0,0 тыс. рублей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  <w:r w:rsidR="00356DA7" w:rsidRPr="004555BD">
        <w:rPr>
          <w:sz w:val="26"/>
          <w:szCs w:val="26"/>
        </w:rPr>
        <w:t xml:space="preserve"> </w:t>
      </w:r>
    </w:p>
    <w:p w14:paraId="31397461" w14:textId="40F4C169" w:rsidR="00044D45" w:rsidRPr="004555BD" w:rsidRDefault="00044D45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44D45">
        <w:rPr>
          <w:rFonts w:ascii="Times New Roman" w:eastAsia="Times New Roman" w:hAnsi="Times New Roman"/>
          <w:sz w:val="26"/>
          <w:szCs w:val="26"/>
          <w:lang w:eastAsia="ru-RU"/>
        </w:rPr>
        <w:t>еализация мероприятий, направленных на решение социально-значимых проблем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расходы составят на 2022-2023 годы по 10 тыс. рублей ежегодно, на 2024 год 50 тыс. рублей.</w:t>
      </w:r>
    </w:p>
    <w:p w14:paraId="7CDD2C1F" w14:textId="63C07360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2) «Доступная среда», расходы составят </w:t>
      </w:r>
      <w:bookmarkStart w:id="15" w:name="_Hlk87607772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10,0 тыс. рублей</w:t>
      </w:r>
      <w:bookmarkEnd w:id="15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2023 год 7,8 тыс. рублей, на 2024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70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из них предусмотрены расходы на:</w:t>
      </w:r>
    </w:p>
    <w:p w14:paraId="4BF29639" w14:textId="3FFE7DA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организацию и проведение мероприятий, направленных на поддержание активной жизнедеятельности инвалидов и пенсионеров,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5,0 тыс. рублей, на 2023 год 2,8 тыс. рублей, на 2024 год 20,0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356DA7" w:rsidRPr="004555BD">
        <w:rPr>
          <w:sz w:val="26"/>
          <w:szCs w:val="26"/>
        </w:rPr>
        <w:t xml:space="preserve"> </w:t>
      </w:r>
    </w:p>
    <w:p w14:paraId="3479F761" w14:textId="1DE77DB8" w:rsidR="005D3A92" w:rsidRPr="004555BD" w:rsidRDefault="005D3A92" w:rsidP="005D3A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2-2023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ы по 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ежегодно, на 2024 год 50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6140294" w14:textId="56DFF69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3) «Профилактика социально-негативных явлений», 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 год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382,7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 на 2023 год 362,7 тыс. рублей,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385,7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  <w:r w:rsidR="00356DA7" w:rsidRPr="004555BD">
        <w:rPr>
          <w:sz w:val="26"/>
          <w:szCs w:val="26"/>
        </w:rPr>
        <w:t xml:space="preserve"> </w:t>
      </w:r>
    </w:p>
    <w:p w14:paraId="08B3C667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lastRenderedPageBreak/>
        <w:t xml:space="preserve">организацию мероприятий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по 5,0 тыс. рублей ежегодно;</w:t>
      </w:r>
    </w:p>
    <w:p w14:paraId="73CF20B3" w14:textId="7EDE9B1F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информирование населения о профилактике заболеваний и реализация мер по формированию здорового образа жизни у населения,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20,0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C267793" w14:textId="10C81C80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организацию мероприятий по профилактике социального сиротства и семейного неблагополучия</w:t>
      </w:r>
      <w:r w:rsidRPr="004555BD">
        <w:rPr>
          <w:rFonts w:ascii="Times New Roman" w:hAnsi="Times New Roman"/>
          <w:sz w:val="26"/>
          <w:szCs w:val="26"/>
        </w:rPr>
        <w:t xml:space="preserve">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5,0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240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, на 2024 год 243,0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356DA7" w:rsidRPr="004555BD">
        <w:rPr>
          <w:sz w:val="26"/>
          <w:szCs w:val="26"/>
        </w:rPr>
        <w:t xml:space="preserve"> </w:t>
      </w:r>
    </w:p>
    <w:p w14:paraId="1AC628AF" w14:textId="6CE274D3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организацию мероприятий по отлову, транспортировки и передержки безнадзорных животных</w:t>
      </w:r>
      <w:r w:rsidRPr="004555BD">
        <w:rPr>
          <w:rFonts w:ascii="Times New Roman" w:hAnsi="Times New Roman"/>
          <w:sz w:val="26"/>
          <w:szCs w:val="26"/>
        </w:rPr>
        <w:t xml:space="preserve">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по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117,7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ежегодно.</w:t>
      </w:r>
    </w:p>
    <w:p w14:paraId="3F1372CD" w14:textId="4F1E66FA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4) «Устойчивое развитие коренных малочисленных народов севера проживающих на территории Катангского района», расходы составят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, на 2023-2024 годы по 5,0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ежегодно, из них предусмотрены расходы на подготовку и распространение информации на языках коренных малочисленных народов Севера</w:t>
      </w:r>
      <w:r w:rsidR="00847ADC"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9E0EBCA" w14:textId="6503D478" w:rsidR="00C2441B" w:rsidRPr="004555BD" w:rsidRDefault="00847ADC" w:rsidP="005D3A92">
      <w:pPr>
        <w:spacing w:after="0" w:line="240" w:lineRule="auto"/>
        <w:ind w:firstLine="709"/>
        <w:jc w:val="both"/>
        <w:rPr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="00C2441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район», </w:t>
      </w:r>
      <w:bookmarkStart w:id="16" w:name="_Hlk87608895"/>
      <w:r w:rsidR="00C2441B"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2022 год 11,0 тыс. рублей, на 2023 год 6,0 тыс. рублей на 2024 годы  11,0 тыс. рублей</w:t>
      </w:r>
      <w:bookmarkEnd w:id="16"/>
      <w:r w:rsidR="00C2441B"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</w:t>
      </w:r>
      <w:r w:rsidR="00C2441B" w:rsidRPr="004555BD">
        <w:rPr>
          <w:sz w:val="26"/>
          <w:szCs w:val="26"/>
        </w:rPr>
        <w:t xml:space="preserve"> </w:t>
      </w:r>
      <w:r w:rsidR="00C2441B" w:rsidRPr="004555BD">
        <w:rPr>
          <w:rFonts w:ascii="Times New Roman" w:eastAsia="Times New Roman" w:hAnsi="Times New Roman"/>
          <w:sz w:val="26"/>
          <w:szCs w:val="26"/>
          <w:lang w:eastAsia="ru-RU"/>
        </w:rPr>
        <w:t>предусмотрены расходы</w:t>
      </w:r>
      <w:r w:rsidR="00C2441B" w:rsidRPr="004555BD">
        <w:rPr>
          <w:sz w:val="26"/>
          <w:szCs w:val="26"/>
        </w:rPr>
        <w:t xml:space="preserve">     </w:t>
      </w:r>
    </w:p>
    <w:p w14:paraId="5C6158D0" w14:textId="0651088E" w:rsidR="00847ADC" w:rsidRPr="004555BD" w:rsidRDefault="00C2441B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явлений, расходы составят по 1,0 тыс. рублей ежегодно;</w:t>
      </w:r>
    </w:p>
    <w:p w14:paraId="6DC1D7BF" w14:textId="64A952B4" w:rsidR="00C2441B" w:rsidRPr="004555BD" w:rsidRDefault="00C2441B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поддержка и развитие волонтерского движения по профилактике социально-негативных явлений,</w:t>
      </w:r>
      <w:r w:rsidRPr="004555BD">
        <w:rPr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на 2022 год 10,0 тыс. рублей, на 2023 год 5,0 тыс. рублей на 2024 </w:t>
      </w:r>
      <w:r w:rsidR="00EA4D99" w:rsidRPr="004555BD">
        <w:rPr>
          <w:rFonts w:ascii="Times New Roman" w:eastAsia="Times New Roman" w:hAnsi="Times New Roman"/>
          <w:sz w:val="26"/>
          <w:szCs w:val="26"/>
          <w:lang w:eastAsia="ru-RU"/>
        </w:rPr>
        <w:t>годы 10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</w:p>
    <w:p w14:paraId="68280946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2F8A45C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55BD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14:paraId="77C646C5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55BD">
        <w:rPr>
          <w:rFonts w:ascii="Times New Roman" w:hAnsi="Times New Roman"/>
          <w:b/>
          <w:sz w:val="26"/>
          <w:szCs w:val="26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Устойчивое развитие сельских территорий муниципального образования «Катангский район» на 2019-2024 годы</w:t>
      </w:r>
      <w:r w:rsidRPr="004555BD">
        <w:rPr>
          <w:rFonts w:ascii="Times New Roman" w:hAnsi="Times New Roman"/>
          <w:b/>
          <w:sz w:val="26"/>
          <w:szCs w:val="26"/>
        </w:rPr>
        <w:t>»</w:t>
      </w:r>
    </w:p>
    <w:p w14:paraId="0C95DC3F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C2F06EB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Муниципальная программа «Устойчивое развитие сельских территорий муниципального образования «Катангский район» на 2019-2024 годы»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утверждена постановлением администрации муниципального образования «Катангский район» от 14 ноября 2018 года № 293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632961C0" w14:textId="1615C13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финансового обеспечения реализации муниципальной программы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составят </w:t>
      </w: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FC618E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2A18CB" w:rsidRPr="00FC618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618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44D45" w:rsidRPr="00FC618E">
        <w:rPr>
          <w:rFonts w:ascii="Times New Roman" w:eastAsia="Times New Roman" w:hAnsi="Times New Roman"/>
          <w:sz w:val="26"/>
          <w:szCs w:val="26"/>
          <w:lang w:eastAsia="ru-RU"/>
        </w:rPr>
        <w:t>29 712,9</w:t>
      </w:r>
      <w:r w:rsidRPr="00FC618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на 202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20 131,4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2 627,6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за счет средств областного бюджета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2022 год </w:t>
      </w:r>
      <w:r w:rsidR="00FC618E">
        <w:rPr>
          <w:rFonts w:ascii="Times New Roman" w:eastAsia="Times New Roman" w:hAnsi="Times New Roman"/>
          <w:sz w:val="26"/>
          <w:szCs w:val="26"/>
          <w:lang w:eastAsia="ru-RU"/>
        </w:rPr>
        <w:t>16 798,9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2023 год расходы составят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13 786,6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, на 2024 год 875,0 тыс. рублей</w:t>
      </w:r>
      <w:r w:rsidRPr="004555BD">
        <w:rPr>
          <w:rFonts w:ascii="Times New Roman" w:hAnsi="Times New Roman"/>
          <w:sz w:val="26"/>
          <w:szCs w:val="26"/>
        </w:rPr>
        <w:t>.</w:t>
      </w:r>
      <w:r w:rsidR="002A18CB" w:rsidRPr="004555BD">
        <w:rPr>
          <w:sz w:val="26"/>
          <w:szCs w:val="26"/>
        </w:rPr>
        <w:t xml:space="preserve"> </w:t>
      </w:r>
    </w:p>
    <w:p w14:paraId="4597F0AB" w14:textId="0DAEA3F8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рамках муниципальной программы предусмотрена реализация следующих подпрограмм:</w:t>
      </w:r>
    </w:p>
    <w:p w14:paraId="7FD50E32" w14:textId="43EECB6A" w:rsidR="002A18CB" w:rsidRPr="004555BD" w:rsidRDefault="002A18CB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1) «Устойчивое развитие сельских территорий,</w:t>
      </w:r>
      <w:r w:rsidRPr="004555BD">
        <w:rPr>
          <w:sz w:val="26"/>
          <w:szCs w:val="26"/>
        </w:rPr>
        <w:t xml:space="preserve"> </w:t>
      </w:r>
      <w:r w:rsidRPr="004555BD">
        <w:rPr>
          <w:rFonts w:ascii="Times New Roman" w:hAnsi="Times New Roman"/>
          <w:sz w:val="26"/>
          <w:szCs w:val="26"/>
        </w:rPr>
        <w:t xml:space="preserve">расходы составят </w:t>
      </w:r>
      <w:r w:rsidR="00FC618E">
        <w:rPr>
          <w:rFonts w:ascii="Times New Roman" w:hAnsi="Times New Roman"/>
          <w:sz w:val="26"/>
          <w:szCs w:val="26"/>
        </w:rPr>
        <w:t>на 2022 год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="00FC618E">
        <w:rPr>
          <w:rFonts w:ascii="Times New Roman" w:hAnsi="Times New Roman"/>
          <w:sz w:val="26"/>
          <w:szCs w:val="26"/>
        </w:rPr>
        <w:t>21 264,4</w:t>
      </w:r>
      <w:r w:rsidRPr="004555BD">
        <w:rPr>
          <w:rFonts w:ascii="Times New Roman" w:hAnsi="Times New Roman"/>
          <w:sz w:val="26"/>
          <w:szCs w:val="26"/>
        </w:rPr>
        <w:t xml:space="preserve"> тыс. рублей</w:t>
      </w:r>
      <w:r w:rsidR="00FC618E">
        <w:rPr>
          <w:rFonts w:ascii="Times New Roman" w:hAnsi="Times New Roman"/>
          <w:sz w:val="26"/>
          <w:szCs w:val="26"/>
        </w:rPr>
        <w:t>, на 2023-2024 годы по 1107,6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="00532CBB">
        <w:rPr>
          <w:rFonts w:ascii="Times New Roman" w:hAnsi="Times New Roman"/>
          <w:sz w:val="26"/>
          <w:szCs w:val="26"/>
        </w:rPr>
        <w:t xml:space="preserve">тыс. рублей </w:t>
      </w:r>
      <w:r w:rsidRPr="004555BD">
        <w:rPr>
          <w:rFonts w:ascii="Times New Roman" w:hAnsi="Times New Roman"/>
          <w:sz w:val="26"/>
          <w:szCs w:val="26"/>
        </w:rPr>
        <w:t>ежегодно, в том числе развитие сети учреждений культурно-досугового типа в сельской местности.</w:t>
      </w:r>
    </w:p>
    <w:p w14:paraId="70F8BBDE" w14:textId="2A8B1168" w:rsidR="005D3A92" w:rsidRPr="004555BD" w:rsidRDefault="003A5A37" w:rsidP="0077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) «Реконструкция, капитальный и текущий ремонт объектов муниципальной собственности», расходы составят на 202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год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2 0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1 250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рублей, в том числе предусмотрены расходы на </w:t>
      </w:r>
      <w:r w:rsidR="005D3A92" w:rsidRPr="004555BD">
        <w:rPr>
          <w:rFonts w:ascii="Times New Roman" w:hAnsi="Times New Roman"/>
          <w:sz w:val="26"/>
          <w:szCs w:val="26"/>
        </w:rPr>
        <w:t>разработку проектно-сметной документации реконструкции, проведение капитального и текущего ремонта объектов муниципальной собственности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9B0F37F" w14:textId="4F582AD0" w:rsidR="003A5A37" w:rsidRPr="004555BD" w:rsidRDefault="003A5A37" w:rsidP="0077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) «Территориальное планирование», расходы составят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8 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48,5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 год 650,0 тыс. рублей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220,0 тыс. рублей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предусмотрены расходы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на:</w:t>
      </w:r>
    </w:p>
    <w:p w14:paraId="1031CC4D" w14:textId="6839BA43" w:rsidR="003A5A37" w:rsidRPr="004555BD" w:rsidRDefault="003A5A37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развитие системы распространения наружной рекламы расходы на 2023 год составят 600,0 тыс. рублей;</w:t>
      </w:r>
    </w:p>
    <w:p w14:paraId="5FE0A1CE" w14:textId="7EFE9D5D" w:rsidR="003A5A37" w:rsidRPr="004555BD" w:rsidRDefault="003A5A37" w:rsidP="003A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5D3A92" w:rsidRPr="004555BD">
        <w:rPr>
          <w:rFonts w:ascii="Times New Roman" w:hAnsi="Times New Roman"/>
          <w:sz w:val="26"/>
          <w:szCs w:val="26"/>
        </w:rPr>
        <w:t>градостроительное зонирование и планировку территории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bookmarkStart w:id="17" w:name="_Hlk87610172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на 2022 год составят 200,0 тыс. рублей, на 2023 год 50,0 тыс. рублей, на 2024 год 200 тыс. рублей;</w:t>
      </w:r>
    </w:p>
    <w:bookmarkEnd w:id="17"/>
    <w:p w14:paraId="78284A11" w14:textId="485846A8" w:rsidR="003A5A37" w:rsidRPr="004555BD" w:rsidRDefault="003A5A37" w:rsidP="003A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в схему территориального планирования муниципального образования «Катангский район», генеральные планы и правила землепользования поселений Катангского района,</w:t>
      </w:r>
      <w:r w:rsidRPr="004555BD">
        <w:rPr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на 2022 год составят 8 248,5 тыс. рублей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2024 год 20,0 тыс. рублей;</w:t>
      </w:r>
    </w:p>
    <w:p w14:paraId="114C1522" w14:textId="17C0F0C0" w:rsidR="005D3A92" w:rsidRPr="004555BD" w:rsidRDefault="003A5A37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 </w:t>
      </w:r>
      <w:r w:rsidR="005D3A92" w:rsidRPr="004555BD">
        <w:rPr>
          <w:rFonts w:ascii="Times New Roman" w:hAnsi="Times New Roman"/>
          <w:sz w:val="26"/>
          <w:szCs w:val="26"/>
        </w:rPr>
        <w:t>.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ED378F8" w14:textId="33C12320" w:rsidR="005D3A92" w:rsidRPr="00FC618E" w:rsidRDefault="00773839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) «Энергосбережение и повышение энергетической эффективности», расходы составят на 202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30 тыс. рублей на 202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год 50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рублей, в том числе предусмотрены расходы на </w:t>
      </w:r>
      <w:r w:rsidR="005D3A92" w:rsidRPr="004555BD">
        <w:rPr>
          <w:rFonts w:ascii="Times New Roman" w:hAnsi="Times New Roman"/>
          <w:sz w:val="26"/>
          <w:szCs w:val="26"/>
        </w:rPr>
        <w:t xml:space="preserve">технические и технологические мероприятия по </w:t>
      </w:r>
      <w:r w:rsidR="005D3A92" w:rsidRPr="00FC618E">
        <w:rPr>
          <w:rFonts w:ascii="Times New Roman" w:hAnsi="Times New Roman"/>
          <w:sz w:val="26"/>
          <w:szCs w:val="26"/>
        </w:rPr>
        <w:t>энергосбережению</w:t>
      </w:r>
      <w:r w:rsidR="00BB196A" w:rsidRPr="00FC618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36D623D" w14:textId="6B64198D" w:rsidR="00BB196A" w:rsidRPr="004555BD" w:rsidRDefault="00BB196A" w:rsidP="00BB1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618E">
        <w:rPr>
          <w:rFonts w:ascii="Times New Roman" w:hAnsi="Times New Roman"/>
          <w:sz w:val="26"/>
          <w:szCs w:val="26"/>
        </w:rPr>
        <w:t>5) «Охрана окружающей среды», расходы составят на 2023 год 16 343,8 тыс.</w:t>
      </w:r>
      <w:r>
        <w:rPr>
          <w:rFonts w:ascii="Times New Roman" w:hAnsi="Times New Roman"/>
          <w:sz w:val="26"/>
          <w:szCs w:val="26"/>
        </w:rPr>
        <w:t xml:space="preserve"> рублей, в том числе на с</w:t>
      </w:r>
      <w:r w:rsidRPr="00BB196A">
        <w:rPr>
          <w:rFonts w:ascii="Times New Roman" w:hAnsi="Times New Roman"/>
          <w:sz w:val="26"/>
          <w:szCs w:val="26"/>
        </w:rPr>
        <w:t>нижение негативного влияния отходов на состояние окружающей среды</w:t>
      </w:r>
      <w:r>
        <w:rPr>
          <w:rFonts w:ascii="Times New Roman" w:hAnsi="Times New Roman"/>
          <w:sz w:val="26"/>
          <w:szCs w:val="26"/>
        </w:rPr>
        <w:t xml:space="preserve"> (приобретение </w:t>
      </w:r>
      <w:r w:rsidRPr="00BB196A">
        <w:rPr>
          <w:rFonts w:ascii="Times New Roman" w:hAnsi="Times New Roman"/>
          <w:sz w:val="26"/>
          <w:szCs w:val="26"/>
        </w:rPr>
        <w:t>комплексов (установок) по обезвреживанию твердых коммунальных отходов</w:t>
      </w:r>
      <w:r>
        <w:rPr>
          <w:rFonts w:ascii="Times New Roman" w:hAnsi="Times New Roman"/>
          <w:sz w:val="26"/>
          <w:szCs w:val="26"/>
        </w:rPr>
        <w:t>).</w:t>
      </w:r>
    </w:p>
    <w:p w14:paraId="01D47DBE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FE8859D" w14:textId="0AE1D244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Непрограммные направления деятельности</w:t>
      </w:r>
      <w:r w:rsidR="00773839" w:rsidRPr="004555BD">
        <w:rPr>
          <w:sz w:val="26"/>
          <w:szCs w:val="26"/>
        </w:rPr>
        <w:t xml:space="preserve"> </w:t>
      </w:r>
    </w:p>
    <w:p w14:paraId="265ABC98" w14:textId="77777777" w:rsidR="005D3A92" w:rsidRPr="004555BD" w:rsidRDefault="005D3A92" w:rsidP="005D3A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14:paraId="0201D48F" w14:textId="6FE6F8C0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 xml:space="preserve">В проекте решения на реализацию непрограммных направлений деятельности предусмотрены бюджетные ассигнования </w:t>
      </w: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9 741,9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10 741,4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11 063,0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sz w:val="26"/>
          <w:szCs w:val="26"/>
        </w:rPr>
        <w:t xml:space="preserve">, в том числе за счет средств поселений переданных на осуществление части полномочий по решению вопросов  местного значения в соответствии  с заключенными соглашениями на осуществление внешнего финансового контроля поселений, входящих в состав муниципального образования «Катангский район», расходы составят по 364,8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</w:t>
      </w:r>
      <w:r w:rsidRPr="004555BD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1B44346A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>Расходы направлены на обеспечение деятельности органов местного самоуправления, из них на содержание:</w:t>
      </w:r>
      <w:r w:rsidRPr="004555BD">
        <w:rPr>
          <w:rFonts w:ascii="Times New Roman" w:eastAsia="Times New Roman" w:hAnsi="Times New Roman"/>
          <w:sz w:val="26"/>
          <w:szCs w:val="26"/>
        </w:rPr>
        <w:tab/>
      </w:r>
    </w:p>
    <w:p w14:paraId="229B7E69" w14:textId="775BDFC4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 xml:space="preserve">главы муниципального образования «Катангский район», расходы составят </w:t>
      </w:r>
      <w:r w:rsidRPr="004555BD">
        <w:rPr>
          <w:rFonts w:ascii="Times New Roman" w:hAnsi="Times New Roman"/>
          <w:sz w:val="26"/>
          <w:szCs w:val="26"/>
        </w:rPr>
        <w:t>на 202</w:t>
      </w:r>
      <w:r w:rsidR="00773839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773839" w:rsidRPr="004555BD">
        <w:rPr>
          <w:rFonts w:ascii="Times New Roman" w:hAnsi="Times New Roman"/>
          <w:sz w:val="26"/>
          <w:szCs w:val="26"/>
        </w:rPr>
        <w:t xml:space="preserve">3 798,6 </w:t>
      </w:r>
      <w:r w:rsidRPr="004555BD">
        <w:rPr>
          <w:rFonts w:ascii="Times New Roman" w:hAnsi="Times New Roman"/>
          <w:sz w:val="26"/>
          <w:szCs w:val="26"/>
        </w:rPr>
        <w:t>тыс. рублей на 202</w:t>
      </w:r>
      <w:r w:rsidR="00773839" w:rsidRPr="004555BD">
        <w:rPr>
          <w:rFonts w:ascii="Times New Roman" w:hAnsi="Times New Roman"/>
          <w:sz w:val="26"/>
          <w:szCs w:val="26"/>
        </w:rPr>
        <w:t>3-</w:t>
      </w:r>
      <w:r w:rsidR="00DB3B86" w:rsidRPr="004555BD">
        <w:rPr>
          <w:rFonts w:ascii="Times New Roman" w:hAnsi="Times New Roman"/>
          <w:sz w:val="26"/>
          <w:szCs w:val="26"/>
        </w:rPr>
        <w:t>2024 годы</w:t>
      </w:r>
      <w:r w:rsidR="00773839" w:rsidRPr="004555BD">
        <w:rPr>
          <w:rFonts w:ascii="Times New Roman" w:hAnsi="Times New Roman"/>
          <w:sz w:val="26"/>
          <w:szCs w:val="26"/>
        </w:rPr>
        <w:t xml:space="preserve"> по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="00773839" w:rsidRPr="004555BD">
        <w:rPr>
          <w:rFonts w:ascii="Times New Roman" w:hAnsi="Times New Roman"/>
          <w:sz w:val="26"/>
          <w:szCs w:val="26"/>
        </w:rPr>
        <w:t xml:space="preserve">4 926,4 </w:t>
      </w:r>
      <w:r w:rsidRPr="004555BD">
        <w:rPr>
          <w:rFonts w:ascii="Times New Roman" w:hAnsi="Times New Roman"/>
          <w:sz w:val="26"/>
          <w:szCs w:val="26"/>
        </w:rPr>
        <w:t xml:space="preserve">тыс. рублей </w:t>
      </w:r>
      <w:r w:rsidR="00773839" w:rsidRPr="004555BD">
        <w:rPr>
          <w:rFonts w:ascii="Times New Roman" w:hAnsi="Times New Roman"/>
          <w:sz w:val="26"/>
          <w:szCs w:val="26"/>
        </w:rPr>
        <w:t>ежегодно</w:t>
      </w:r>
      <w:r w:rsidRPr="004555BD">
        <w:rPr>
          <w:rFonts w:ascii="Times New Roman" w:eastAsia="Times New Roman" w:hAnsi="Times New Roman"/>
          <w:sz w:val="26"/>
          <w:szCs w:val="26"/>
        </w:rPr>
        <w:t>;</w:t>
      </w:r>
    </w:p>
    <w:p w14:paraId="424D3997" w14:textId="2CEF30A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 xml:space="preserve">районной думы муниципального образования «Катангский район», расходы составят </w:t>
      </w:r>
      <w:r w:rsidRPr="004555BD">
        <w:rPr>
          <w:rFonts w:ascii="Times New Roman" w:hAnsi="Times New Roman"/>
          <w:sz w:val="26"/>
          <w:szCs w:val="26"/>
        </w:rPr>
        <w:t>на 202</w:t>
      </w:r>
      <w:r w:rsidR="00773839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773839" w:rsidRPr="004555BD">
        <w:rPr>
          <w:rFonts w:ascii="Times New Roman" w:hAnsi="Times New Roman"/>
          <w:sz w:val="26"/>
          <w:szCs w:val="26"/>
        </w:rPr>
        <w:t xml:space="preserve">2 443,9 </w:t>
      </w:r>
      <w:r w:rsidRPr="004555BD">
        <w:rPr>
          <w:rFonts w:ascii="Times New Roman" w:hAnsi="Times New Roman"/>
          <w:sz w:val="26"/>
          <w:szCs w:val="26"/>
        </w:rPr>
        <w:t>тыс. рублей на 202</w:t>
      </w:r>
      <w:r w:rsidR="00773839" w:rsidRPr="004555BD">
        <w:rPr>
          <w:rFonts w:ascii="Times New Roman" w:hAnsi="Times New Roman"/>
          <w:sz w:val="26"/>
          <w:szCs w:val="26"/>
        </w:rPr>
        <w:t>3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773839" w:rsidRPr="004555BD">
        <w:rPr>
          <w:rFonts w:ascii="Times New Roman" w:hAnsi="Times New Roman"/>
          <w:sz w:val="26"/>
          <w:szCs w:val="26"/>
        </w:rPr>
        <w:t>2 413,9</w:t>
      </w:r>
      <w:r w:rsidRPr="004555BD">
        <w:rPr>
          <w:rFonts w:ascii="Times New Roman" w:hAnsi="Times New Roman"/>
          <w:sz w:val="26"/>
          <w:szCs w:val="26"/>
        </w:rPr>
        <w:t xml:space="preserve"> тыс. рублей 202</w:t>
      </w:r>
      <w:r w:rsidR="00773839" w:rsidRPr="004555BD">
        <w:rPr>
          <w:rFonts w:ascii="Times New Roman" w:hAnsi="Times New Roman"/>
          <w:sz w:val="26"/>
          <w:szCs w:val="26"/>
        </w:rPr>
        <w:t>4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773839" w:rsidRPr="004555BD">
        <w:rPr>
          <w:rFonts w:ascii="Times New Roman" w:hAnsi="Times New Roman"/>
          <w:sz w:val="26"/>
          <w:szCs w:val="26"/>
        </w:rPr>
        <w:t>2 633,7</w:t>
      </w:r>
      <w:r w:rsidRPr="004555BD">
        <w:rPr>
          <w:rFonts w:ascii="Times New Roman" w:hAnsi="Times New Roman"/>
          <w:sz w:val="26"/>
          <w:szCs w:val="26"/>
        </w:rPr>
        <w:t xml:space="preserve"> тыс. рублей</w:t>
      </w:r>
      <w:r w:rsidRPr="004555BD">
        <w:rPr>
          <w:rFonts w:ascii="Times New Roman" w:eastAsia="Times New Roman" w:hAnsi="Times New Roman"/>
          <w:sz w:val="26"/>
          <w:szCs w:val="26"/>
        </w:rPr>
        <w:t>;</w:t>
      </w:r>
      <w:r w:rsidR="00773839" w:rsidRPr="004555BD">
        <w:rPr>
          <w:sz w:val="26"/>
          <w:szCs w:val="26"/>
        </w:rPr>
        <w:t xml:space="preserve"> </w:t>
      </w:r>
    </w:p>
    <w:p w14:paraId="27A73F95" w14:textId="6429A594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 xml:space="preserve">контрольно-счетной палаты муниципального образования «Катангский район», расходы составят </w:t>
      </w: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 49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 401,1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 50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рублей.</w:t>
      </w:r>
      <w:r w:rsidR="00773839" w:rsidRPr="004555BD">
        <w:rPr>
          <w:sz w:val="26"/>
          <w:szCs w:val="26"/>
        </w:rPr>
        <w:t xml:space="preserve"> </w:t>
      </w:r>
    </w:p>
    <w:p w14:paraId="563EF5EB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5D3A92" w:rsidRPr="004555BD" w14:paraId="3E412075" w14:textId="77777777" w:rsidTr="00787E37">
        <w:tc>
          <w:tcPr>
            <w:tcW w:w="4825" w:type="dxa"/>
          </w:tcPr>
          <w:p w14:paraId="661409BD" w14:textId="77777777" w:rsidR="00BB196A" w:rsidRDefault="00BB196A" w:rsidP="006B10A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14:paraId="41BA1699" w14:textId="77777777" w:rsidR="00BB196A" w:rsidRDefault="00BB196A" w:rsidP="006B10A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14:paraId="1C9CA511" w14:textId="29C6911F" w:rsidR="005D3A92" w:rsidRDefault="005D3A92" w:rsidP="006B10A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555BD">
              <w:rPr>
                <w:rFonts w:eastAsia="Times New Roman"/>
                <w:bCs/>
                <w:sz w:val="26"/>
                <w:szCs w:val="26"/>
                <w:lang w:eastAsia="ru-RU"/>
              </w:rPr>
              <w:t>Начальник фин</w:t>
            </w:r>
            <w:r w:rsidR="004555BD">
              <w:rPr>
                <w:rFonts w:eastAsia="Times New Roman"/>
                <w:bCs/>
                <w:sz w:val="26"/>
                <w:szCs w:val="26"/>
                <w:lang w:eastAsia="ru-RU"/>
              </w:rPr>
              <w:t>ан</w:t>
            </w:r>
            <w:r w:rsidR="00712AAC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сового </w:t>
            </w:r>
            <w:r w:rsidRPr="004555BD">
              <w:rPr>
                <w:rFonts w:eastAsia="Times New Roman"/>
                <w:bCs/>
                <w:sz w:val="26"/>
                <w:szCs w:val="26"/>
                <w:lang w:eastAsia="ru-RU"/>
              </w:rPr>
              <w:t>управления</w:t>
            </w:r>
          </w:p>
          <w:p w14:paraId="6024D909" w14:textId="03F32533" w:rsidR="00712AAC" w:rsidRPr="004555BD" w:rsidRDefault="00712AAC" w:rsidP="006B10A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администрации МО «Катангский район»</w:t>
            </w:r>
          </w:p>
          <w:p w14:paraId="4075373F" w14:textId="5C460081" w:rsidR="005D3A92" w:rsidRPr="004555BD" w:rsidRDefault="005D3A92" w:rsidP="006B10A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813" w:type="dxa"/>
          </w:tcPr>
          <w:p w14:paraId="2E2A17FE" w14:textId="77777777" w:rsidR="00712AAC" w:rsidRDefault="00712AAC" w:rsidP="006B10A6">
            <w:pPr>
              <w:spacing w:after="0" w:line="240" w:lineRule="auto"/>
              <w:jc w:val="righ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14:paraId="365A38C8" w14:textId="21E6CBED" w:rsidR="005D3A92" w:rsidRPr="004555BD" w:rsidRDefault="004555BD" w:rsidP="006B10A6">
            <w:pPr>
              <w:spacing w:after="0" w:line="240" w:lineRule="auto"/>
              <w:jc w:val="right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 w:rsidRPr="004555BD">
              <w:rPr>
                <w:rFonts w:eastAsia="Times New Roman"/>
                <w:bCs/>
                <w:sz w:val="26"/>
                <w:szCs w:val="26"/>
                <w:lang w:eastAsia="ru-RU"/>
              </w:rPr>
              <w:t>С</w:t>
            </w:r>
            <w:r w:rsidR="005D3A92" w:rsidRPr="004555BD">
              <w:rPr>
                <w:rFonts w:eastAsia="Times New Roman"/>
                <w:bCs/>
                <w:sz w:val="26"/>
                <w:szCs w:val="26"/>
                <w:lang w:eastAsia="ru-RU"/>
              </w:rPr>
              <w:t>.А. Светлолобова</w:t>
            </w:r>
          </w:p>
        </w:tc>
      </w:tr>
    </w:tbl>
    <w:p w14:paraId="6386ED23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14:paraId="79D374FB" w14:textId="77777777" w:rsidR="005D3A92" w:rsidRPr="00377098" w:rsidRDefault="005D3A92" w:rsidP="005D3A9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77098">
        <w:rPr>
          <w:rFonts w:ascii="Times New Roman" w:eastAsia="Times New Roman" w:hAnsi="Times New Roman"/>
          <w:bCs/>
          <w:sz w:val="20"/>
          <w:szCs w:val="20"/>
          <w:lang w:eastAsia="ru-RU"/>
        </w:rPr>
        <w:t>исп. Верхотурова Т. А.,</w:t>
      </w:r>
    </w:p>
    <w:p w14:paraId="18A20F44" w14:textId="515709A6" w:rsidR="00377098" w:rsidRPr="00377098" w:rsidRDefault="005D3A92" w:rsidP="00EA4D9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77098">
        <w:rPr>
          <w:rFonts w:ascii="Times New Roman" w:eastAsia="Times New Roman" w:hAnsi="Times New Roman"/>
          <w:bCs/>
          <w:sz w:val="20"/>
          <w:szCs w:val="20"/>
          <w:lang w:eastAsia="ru-RU"/>
        </w:rPr>
        <w:t>Козлова Е. В., тел. 8 3956021072</w:t>
      </w:r>
    </w:p>
    <w:sectPr w:rsidR="00377098" w:rsidRPr="00377098" w:rsidSect="00787E37">
      <w:footerReference w:type="default" r:id="rId8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57EA" w14:textId="77777777" w:rsidR="00292921" w:rsidRDefault="00292921" w:rsidP="00EB4F64">
      <w:pPr>
        <w:spacing w:after="0" w:line="240" w:lineRule="auto"/>
      </w:pPr>
      <w:r>
        <w:separator/>
      </w:r>
    </w:p>
  </w:endnote>
  <w:endnote w:type="continuationSeparator" w:id="0">
    <w:p w14:paraId="5825C16D" w14:textId="77777777" w:rsidR="00292921" w:rsidRDefault="00292921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7F69" w14:textId="77777777" w:rsidR="00DB3B86" w:rsidRPr="002E79D3" w:rsidRDefault="00DB3B86">
    <w:pPr>
      <w:pStyle w:val="aff0"/>
      <w:jc w:val="right"/>
      <w:rPr>
        <w:rFonts w:ascii="Times New Roman" w:hAnsi="Times New Roman"/>
        <w:sz w:val="24"/>
        <w:szCs w:val="24"/>
      </w:rPr>
    </w:pPr>
    <w:r w:rsidRPr="002E79D3">
      <w:rPr>
        <w:rFonts w:ascii="Times New Roman" w:hAnsi="Times New Roman"/>
        <w:sz w:val="24"/>
        <w:szCs w:val="24"/>
      </w:rPr>
      <w:fldChar w:fldCharType="begin"/>
    </w:r>
    <w:r w:rsidRPr="002E79D3">
      <w:rPr>
        <w:rFonts w:ascii="Times New Roman" w:hAnsi="Times New Roman"/>
        <w:sz w:val="24"/>
        <w:szCs w:val="24"/>
      </w:rPr>
      <w:instrText>PAGE   \* MERGEFORMAT</w:instrText>
    </w:r>
    <w:r w:rsidRPr="002E79D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20</w:t>
    </w:r>
    <w:r w:rsidRPr="002E79D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AB52" w14:textId="77777777" w:rsidR="00292921" w:rsidRDefault="00292921" w:rsidP="00EB4F64">
      <w:pPr>
        <w:spacing w:after="0" w:line="240" w:lineRule="auto"/>
      </w:pPr>
      <w:r>
        <w:separator/>
      </w:r>
    </w:p>
  </w:footnote>
  <w:footnote w:type="continuationSeparator" w:id="0">
    <w:p w14:paraId="4BDFCF05" w14:textId="77777777" w:rsidR="00292921" w:rsidRDefault="00292921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670C47"/>
    <w:multiLevelType w:val="hybridMultilevel"/>
    <w:tmpl w:val="C8B68EB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C0864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A00576"/>
    <w:multiLevelType w:val="hybridMultilevel"/>
    <w:tmpl w:val="610A2C6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05B2E"/>
    <w:multiLevelType w:val="hybridMultilevel"/>
    <w:tmpl w:val="48F2F238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0C3"/>
    <w:multiLevelType w:val="hybridMultilevel"/>
    <w:tmpl w:val="F296EE1A"/>
    <w:lvl w:ilvl="0" w:tplc="A69E99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55631F"/>
    <w:multiLevelType w:val="hybridMultilevel"/>
    <w:tmpl w:val="55BEE282"/>
    <w:lvl w:ilvl="0" w:tplc="829E8B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427755"/>
    <w:multiLevelType w:val="hybridMultilevel"/>
    <w:tmpl w:val="39C0DC40"/>
    <w:lvl w:ilvl="0" w:tplc="3BCC5F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47F57"/>
    <w:multiLevelType w:val="hybridMultilevel"/>
    <w:tmpl w:val="6CC2D258"/>
    <w:lvl w:ilvl="0" w:tplc="03949A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745A2"/>
    <w:multiLevelType w:val="hybridMultilevel"/>
    <w:tmpl w:val="05E44928"/>
    <w:lvl w:ilvl="0" w:tplc="2E1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303C15"/>
    <w:multiLevelType w:val="hybridMultilevel"/>
    <w:tmpl w:val="896A2230"/>
    <w:lvl w:ilvl="0" w:tplc="167CFD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931DB5"/>
    <w:multiLevelType w:val="hybridMultilevel"/>
    <w:tmpl w:val="8F0EB2D0"/>
    <w:lvl w:ilvl="0" w:tplc="DB6C6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6F47AA"/>
    <w:multiLevelType w:val="hybridMultilevel"/>
    <w:tmpl w:val="286E5CFE"/>
    <w:lvl w:ilvl="0" w:tplc="40D8F7F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3" w15:restartNumberingAfterBreak="0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24910FC"/>
    <w:multiLevelType w:val="hybridMultilevel"/>
    <w:tmpl w:val="2DA21554"/>
    <w:lvl w:ilvl="0" w:tplc="EA72D4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120DF7"/>
    <w:multiLevelType w:val="hybridMultilevel"/>
    <w:tmpl w:val="3FAC0046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2936EE"/>
    <w:multiLevelType w:val="hybridMultilevel"/>
    <w:tmpl w:val="860AC1F8"/>
    <w:lvl w:ilvl="0" w:tplc="D78E1E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8B128B"/>
    <w:multiLevelType w:val="hybridMultilevel"/>
    <w:tmpl w:val="4A4461A6"/>
    <w:lvl w:ilvl="0" w:tplc="FF4A65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52830"/>
    <w:multiLevelType w:val="hybridMultilevel"/>
    <w:tmpl w:val="2A50CE22"/>
    <w:lvl w:ilvl="0" w:tplc="6090CE54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8443C0B"/>
    <w:multiLevelType w:val="hybridMultilevel"/>
    <w:tmpl w:val="8FAE6B46"/>
    <w:lvl w:ilvl="0" w:tplc="596C0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11ED"/>
    <w:multiLevelType w:val="hybridMultilevel"/>
    <w:tmpl w:val="2E1079B8"/>
    <w:lvl w:ilvl="0" w:tplc="60D2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1B03C81"/>
    <w:multiLevelType w:val="hybridMultilevel"/>
    <w:tmpl w:val="86C01628"/>
    <w:lvl w:ilvl="0" w:tplc="74CAC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652CB"/>
    <w:multiLevelType w:val="hybridMultilevel"/>
    <w:tmpl w:val="34786D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70253B5"/>
    <w:multiLevelType w:val="hybridMultilevel"/>
    <w:tmpl w:val="063EF5CC"/>
    <w:lvl w:ilvl="0" w:tplc="C33A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6"/>
  </w:num>
  <w:num w:numId="5">
    <w:abstractNumId w:val="39"/>
  </w:num>
  <w:num w:numId="6">
    <w:abstractNumId w:val="22"/>
  </w:num>
  <w:num w:numId="7">
    <w:abstractNumId w:val="10"/>
  </w:num>
  <w:num w:numId="8">
    <w:abstractNumId w:val="32"/>
  </w:num>
  <w:num w:numId="9">
    <w:abstractNumId w:val="0"/>
  </w:num>
  <w:num w:numId="10">
    <w:abstractNumId w:val="28"/>
  </w:num>
  <w:num w:numId="11">
    <w:abstractNumId w:val="19"/>
  </w:num>
  <w:num w:numId="12">
    <w:abstractNumId w:val="30"/>
  </w:num>
  <w:num w:numId="13">
    <w:abstractNumId w:val="35"/>
  </w:num>
  <w:num w:numId="14">
    <w:abstractNumId w:val="23"/>
  </w:num>
  <w:num w:numId="15">
    <w:abstractNumId w:val="18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2"/>
  </w:num>
  <w:num w:numId="24">
    <w:abstractNumId w:val="20"/>
  </w:num>
  <w:num w:numId="25">
    <w:abstractNumId w:val="14"/>
  </w:num>
  <w:num w:numId="26">
    <w:abstractNumId w:val="13"/>
  </w:num>
  <w:num w:numId="27">
    <w:abstractNumId w:val="29"/>
  </w:num>
  <w:num w:numId="28">
    <w:abstractNumId w:val="25"/>
  </w:num>
  <w:num w:numId="29">
    <w:abstractNumId w:val="3"/>
  </w:num>
  <w:num w:numId="30">
    <w:abstractNumId w:val="6"/>
  </w:num>
  <w:num w:numId="31">
    <w:abstractNumId w:val="34"/>
  </w:num>
  <w:num w:numId="32">
    <w:abstractNumId w:val="1"/>
  </w:num>
  <w:num w:numId="33">
    <w:abstractNumId w:val="38"/>
  </w:num>
  <w:num w:numId="34">
    <w:abstractNumId w:val="33"/>
  </w:num>
  <w:num w:numId="35">
    <w:abstractNumId w:val="31"/>
  </w:num>
  <w:num w:numId="36">
    <w:abstractNumId w:val="15"/>
  </w:num>
  <w:num w:numId="37">
    <w:abstractNumId w:val="37"/>
  </w:num>
  <w:num w:numId="38">
    <w:abstractNumId w:val="4"/>
  </w:num>
  <w:num w:numId="39">
    <w:abstractNumId w:val="26"/>
  </w:num>
  <w:num w:numId="40">
    <w:abstractNumId w:val="8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C6"/>
    <w:rsid w:val="0000024F"/>
    <w:rsid w:val="00000A63"/>
    <w:rsid w:val="00000D6E"/>
    <w:rsid w:val="00000E8B"/>
    <w:rsid w:val="00001AC0"/>
    <w:rsid w:val="0000351B"/>
    <w:rsid w:val="00005BA8"/>
    <w:rsid w:val="00005D92"/>
    <w:rsid w:val="0000607A"/>
    <w:rsid w:val="00006492"/>
    <w:rsid w:val="000064C2"/>
    <w:rsid w:val="000069F1"/>
    <w:rsid w:val="00010EC8"/>
    <w:rsid w:val="00011423"/>
    <w:rsid w:val="00011B4E"/>
    <w:rsid w:val="000125D4"/>
    <w:rsid w:val="000145B8"/>
    <w:rsid w:val="00014A3D"/>
    <w:rsid w:val="00014E6F"/>
    <w:rsid w:val="00015232"/>
    <w:rsid w:val="00017B37"/>
    <w:rsid w:val="0002012A"/>
    <w:rsid w:val="00021245"/>
    <w:rsid w:val="00022AF3"/>
    <w:rsid w:val="0002473A"/>
    <w:rsid w:val="0002541D"/>
    <w:rsid w:val="0002675F"/>
    <w:rsid w:val="00026F8C"/>
    <w:rsid w:val="00027540"/>
    <w:rsid w:val="00027933"/>
    <w:rsid w:val="00027E5C"/>
    <w:rsid w:val="00027F7F"/>
    <w:rsid w:val="00030087"/>
    <w:rsid w:val="000300FE"/>
    <w:rsid w:val="00031C5C"/>
    <w:rsid w:val="0003271F"/>
    <w:rsid w:val="0003392B"/>
    <w:rsid w:val="00033E5D"/>
    <w:rsid w:val="00035031"/>
    <w:rsid w:val="000350AD"/>
    <w:rsid w:val="00037111"/>
    <w:rsid w:val="000379DD"/>
    <w:rsid w:val="00040193"/>
    <w:rsid w:val="00041384"/>
    <w:rsid w:val="00041DF3"/>
    <w:rsid w:val="00041F48"/>
    <w:rsid w:val="0004320B"/>
    <w:rsid w:val="00043FD6"/>
    <w:rsid w:val="00044D45"/>
    <w:rsid w:val="00046534"/>
    <w:rsid w:val="0005065E"/>
    <w:rsid w:val="00051454"/>
    <w:rsid w:val="00052A79"/>
    <w:rsid w:val="0005445D"/>
    <w:rsid w:val="00054DB3"/>
    <w:rsid w:val="000553A5"/>
    <w:rsid w:val="00055EAE"/>
    <w:rsid w:val="000564D8"/>
    <w:rsid w:val="0005661B"/>
    <w:rsid w:val="000579E5"/>
    <w:rsid w:val="00060755"/>
    <w:rsid w:val="000607F5"/>
    <w:rsid w:val="00061C32"/>
    <w:rsid w:val="00063599"/>
    <w:rsid w:val="00063CE5"/>
    <w:rsid w:val="00065CBD"/>
    <w:rsid w:val="00065DB4"/>
    <w:rsid w:val="000661A0"/>
    <w:rsid w:val="00066C0B"/>
    <w:rsid w:val="00067770"/>
    <w:rsid w:val="00071C98"/>
    <w:rsid w:val="000726FA"/>
    <w:rsid w:val="0007304B"/>
    <w:rsid w:val="00073874"/>
    <w:rsid w:val="000747B8"/>
    <w:rsid w:val="0007529E"/>
    <w:rsid w:val="00075938"/>
    <w:rsid w:val="00075DF1"/>
    <w:rsid w:val="0007683D"/>
    <w:rsid w:val="00080FD4"/>
    <w:rsid w:val="000815FC"/>
    <w:rsid w:val="00083F82"/>
    <w:rsid w:val="00084154"/>
    <w:rsid w:val="00084A06"/>
    <w:rsid w:val="00085561"/>
    <w:rsid w:val="00085EA0"/>
    <w:rsid w:val="00087359"/>
    <w:rsid w:val="0008795E"/>
    <w:rsid w:val="00090311"/>
    <w:rsid w:val="0009221B"/>
    <w:rsid w:val="000944D5"/>
    <w:rsid w:val="0009523D"/>
    <w:rsid w:val="00095D11"/>
    <w:rsid w:val="000965BC"/>
    <w:rsid w:val="000969DD"/>
    <w:rsid w:val="00096BEA"/>
    <w:rsid w:val="00097181"/>
    <w:rsid w:val="000977ED"/>
    <w:rsid w:val="00097F01"/>
    <w:rsid w:val="000A00E0"/>
    <w:rsid w:val="000A02E5"/>
    <w:rsid w:val="000A1B8D"/>
    <w:rsid w:val="000A290B"/>
    <w:rsid w:val="000A2E75"/>
    <w:rsid w:val="000A3028"/>
    <w:rsid w:val="000A4472"/>
    <w:rsid w:val="000A5B55"/>
    <w:rsid w:val="000A66A6"/>
    <w:rsid w:val="000B02D2"/>
    <w:rsid w:val="000B05FE"/>
    <w:rsid w:val="000B0BB1"/>
    <w:rsid w:val="000B225B"/>
    <w:rsid w:val="000B4933"/>
    <w:rsid w:val="000B519A"/>
    <w:rsid w:val="000B7CC1"/>
    <w:rsid w:val="000C08BE"/>
    <w:rsid w:val="000C20D2"/>
    <w:rsid w:val="000C22FC"/>
    <w:rsid w:val="000C2F28"/>
    <w:rsid w:val="000C44C7"/>
    <w:rsid w:val="000C561F"/>
    <w:rsid w:val="000C5A19"/>
    <w:rsid w:val="000C5E3D"/>
    <w:rsid w:val="000C79E8"/>
    <w:rsid w:val="000D01DB"/>
    <w:rsid w:val="000D0244"/>
    <w:rsid w:val="000D03FB"/>
    <w:rsid w:val="000D1066"/>
    <w:rsid w:val="000D45A1"/>
    <w:rsid w:val="000D4900"/>
    <w:rsid w:val="000D599B"/>
    <w:rsid w:val="000D5F34"/>
    <w:rsid w:val="000D654B"/>
    <w:rsid w:val="000D6691"/>
    <w:rsid w:val="000D7DB0"/>
    <w:rsid w:val="000E0729"/>
    <w:rsid w:val="000E132B"/>
    <w:rsid w:val="000E15DB"/>
    <w:rsid w:val="000E2351"/>
    <w:rsid w:val="000E3148"/>
    <w:rsid w:val="000E4420"/>
    <w:rsid w:val="000E5298"/>
    <w:rsid w:val="000E5733"/>
    <w:rsid w:val="000E587E"/>
    <w:rsid w:val="000E7A73"/>
    <w:rsid w:val="000E7B59"/>
    <w:rsid w:val="000F0776"/>
    <w:rsid w:val="000F2C7E"/>
    <w:rsid w:val="000F3449"/>
    <w:rsid w:val="000F398F"/>
    <w:rsid w:val="000F3B89"/>
    <w:rsid w:val="000F430E"/>
    <w:rsid w:val="000F4C7B"/>
    <w:rsid w:val="000F5490"/>
    <w:rsid w:val="000F69EC"/>
    <w:rsid w:val="000F6C18"/>
    <w:rsid w:val="000F6C9E"/>
    <w:rsid w:val="000F6D3B"/>
    <w:rsid w:val="000F795A"/>
    <w:rsid w:val="000F7E97"/>
    <w:rsid w:val="000F7FB7"/>
    <w:rsid w:val="001008B3"/>
    <w:rsid w:val="00101757"/>
    <w:rsid w:val="00101A09"/>
    <w:rsid w:val="00101C16"/>
    <w:rsid w:val="00101E50"/>
    <w:rsid w:val="001020E1"/>
    <w:rsid w:val="00102CF2"/>
    <w:rsid w:val="0010334F"/>
    <w:rsid w:val="001051B3"/>
    <w:rsid w:val="00105341"/>
    <w:rsid w:val="0010578B"/>
    <w:rsid w:val="001058DB"/>
    <w:rsid w:val="001058DC"/>
    <w:rsid w:val="001066BB"/>
    <w:rsid w:val="00106A35"/>
    <w:rsid w:val="00107205"/>
    <w:rsid w:val="00110660"/>
    <w:rsid w:val="0011085A"/>
    <w:rsid w:val="001113E5"/>
    <w:rsid w:val="00112132"/>
    <w:rsid w:val="001128A2"/>
    <w:rsid w:val="00112D71"/>
    <w:rsid w:val="001130BB"/>
    <w:rsid w:val="00113A1B"/>
    <w:rsid w:val="00113F5D"/>
    <w:rsid w:val="00114687"/>
    <w:rsid w:val="001147CC"/>
    <w:rsid w:val="00115549"/>
    <w:rsid w:val="001173DA"/>
    <w:rsid w:val="0011743A"/>
    <w:rsid w:val="00117638"/>
    <w:rsid w:val="00117CBB"/>
    <w:rsid w:val="001234D0"/>
    <w:rsid w:val="00123905"/>
    <w:rsid w:val="001247C7"/>
    <w:rsid w:val="00125180"/>
    <w:rsid w:val="001270F0"/>
    <w:rsid w:val="0012729F"/>
    <w:rsid w:val="0013057A"/>
    <w:rsid w:val="00130C1D"/>
    <w:rsid w:val="0013211C"/>
    <w:rsid w:val="001329E7"/>
    <w:rsid w:val="00132BBC"/>
    <w:rsid w:val="00134BA1"/>
    <w:rsid w:val="00135404"/>
    <w:rsid w:val="00135F9F"/>
    <w:rsid w:val="001360E7"/>
    <w:rsid w:val="001372D8"/>
    <w:rsid w:val="0014077A"/>
    <w:rsid w:val="0014427B"/>
    <w:rsid w:val="0014785C"/>
    <w:rsid w:val="00150CFB"/>
    <w:rsid w:val="00151808"/>
    <w:rsid w:val="00151AC3"/>
    <w:rsid w:val="00151FFF"/>
    <w:rsid w:val="00152001"/>
    <w:rsid w:val="00152697"/>
    <w:rsid w:val="00152987"/>
    <w:rsid w:val="00153878"/>
    <w:rsid w:val="001544F5"/>
    <w:rsid w:val="00155E6F"/>
    <w:rsid w:val="001568CC"/>
    <w:rsid w:val="00156A06"/>
    <w:rsid w:val="00157329"/>
    <w:rsid w:val="00157B15"/>
    <w:rsid w:val="00161377"/>
    <w:rsid w:val="001618D2"/>
    <w:rsid w:val="00161A43"/>
    <w:rsid w:val="0016246F"/>
    <w:rsid w:val="001624F3"/>
    <w:rsid w:val="00163558"/>
    <w:rsid w:val="001635ED"/>
    <w:rsid w:val="00164287"/>
    <w:rsid w:val="001649D0"/>
    <w:rsid w:val="00165CF8"/>
    <w:rsid w:val="0016746E"/>
    <w:rsid w:val="001678B2"/>
    <w:rsid w:val="001704ED"/>
    <w:rsid w:val="00170B5D"/>
    <w:rsid w:val="001716E7"/>
    <w:rsid w:val="001723F6"/>
    <w:rsid w:val="00172B34"/>
    <w:rsid w:val="001733FF"/>
    <w:rsid w:val="00173FE8"/>
    <w:rsid w:val="00177F00"/>
    <w:rsid w:val="0018060D"/>
    <w:rsid w:val="001809EA"/>
    <w:rsid w:val="00182422"/>
    <w:rsid w:val="00182C8D"/>
    <w:rsid w:val="00183301"/>
    <w:rsid w:val="00183BC3"/>
    <w:rsid w:val="00184195"/>
    <w:rsid w:val="00185015"/>
    <w:rsid w:val="00185021"/>
    <w:rsid w:val="0018545E"/>
    <w:rsid w:val="00185DB1"/>
    <w:rsid w:val="001860A9"/>
    <w:rsid w:val="0018796D"/>
    <w:rsid w:val="00190064"/>
    <w:rsid w:val="001905E4"/>
    <w:rsid w:val="00191316"/>
    <w:rsid w:val="00191828"/>
    <w:rsid w:val="00191941"/>
    <w:rsid w:val="00191BDA"/>
    <w:rsid w:val="00192836"/>
    <w:rsid w:val="001932B3"/>
    <w:rsid w:val="00193A06"/>
    <w:rsid w:val="0019517D"/>
    <w:rsid w:val="00196ECA"/>
    <w:rsid w:val="0019777F"/>
    <w:rsid w:val="001A1242"/>
    <w:rsid w:val="001A166E"/>
    <w:rsid w:val="001A2BBA"/>
    <w:rsid w:val="001A449E"/>
    <w:rsid w:val="001A5655"/>
    <w:rsid w:val="001A66DE"/>
    <w:rsid w:val="001A741D"/>
    <w:rsid w:val="001A7DB4"/>
    <w:rsid w:val="001B0DCC"/>
    <w:rsid w:val="001B1105"/>
    <w:rsid w:val="001B1422"/>
    <w:rsid w:val="001B1A91"/>
    <w:rsid w:val="001B1E2D"/>
    <w:rsid w:val="001B33F5"/>
    <w:rsid w:val="001B3822"/>
    <w:rsid w:val="001B3D07"/>
    <w:rsid w:val="001B5C20"/>
    <w:rsid w:val="001B6B1A"/>
    <w:rsid w:val="001B6B4C"/>
    <w:rsid w:val="001B6C3E"/>
    <w:rsid w:val="001B7317"/>
    <w:rsid w:val="001C2036"/>
    <w:rsid w:val="001C2A8F"/>
    <w:rsid w:val="001C35E7"/>
    <w:rsid w:val="001C4586"/>
    <w:rsid w:val="001C48B2"/>
    <w:rsid w:val="001C5B14"/>
    <w:rsid w:val="001C6E19"/>
    <w:rsid w:val="001D0CED"/>
    <w:rsid w:val="001D1319"/>
    <w:rsid w:val="001D17C9"/>
    <w:rsid w:val="001D1969"/>
    <w:rsid w:val="001D60DD"/>
    <w:rsid w:val="001D6980"/>
    <w:rsid w:val="001D6B2B"/>
    <w:rsid w:val="001D738C"/>
    <w:rsid w:val="001D7FD4"/>
    <w:rsid w:val="001E0914"/>
    <w:rsid w:val="001E2150"/>
    <w:rsid w:val="001E29C6"/>
    <w:rsid w:val="001E3559"/>
    <w:rsid w:val="001E503E"/>
    <w:rsid w:val="001E5145"/>
    <w:rsid w:val="001E51EA"/>
    <w:rsid w:val="001E6C05"/>
    <w:rsid w:val="001E6C81"/>
    <w:rsid w:val="001F0038"/>
    <w:rsid w:val="001F0301"/>
    <w:rsid w:val="001F29E2"/>
    <w:rsid w:val="001F30DD"/>
    <w:rsid w:val="001F3188"/>
    <w:rsid w:val="001F3234"/>
    <w:rsid w:val="001F34C9"/>
    <w:rsid w:val="001F47A0"/>
    <w:rsid w:val="001F4C99"/>
    <w:rsid w:val="001F5388"/>
    <w:rsid w:val="001F5838"/>
    <w:rsid w:val="001F5D25"/>
    <w:rsid w:val="001F5D4E"/>
    <w:rsid w:val="001F5EF7"/>
    <w:rsid w:val="001F6DBD"/>
    <w:rsid w:val="00200015"/>
    <w:rsid w:val="00200A4B"/>
    <w:rsid w:val="00202161"/>
    <w:rsid w:val="002022EC"/>
    <w:rsid w:val="002029AB"/>
    <w:rsid w:val="00203D2E"/>
    <w:rsid w:val="00204115"/>
    <w:rsid w:val="00204142"/>
    <w:rsid w:val="002046EE"/>
    <w:rsid w:val="00204CC3"/>
    <w:rsid w:val="0020556B"/>
    <w:rsid w:val="002063DB"/>
    <w:rsid w:val="00207AE0"/>
    <w:rsid w:val="00207F21"/>
    <w:rsid w:val="002113E3"/>
    <w:rsid w:val="00211408"/>
    <w:rsid w:val="002114AA"/>
    <w:rsid w:val="00211FFA"/>
    <w:rsid w:val="00212604"/>
    <w:rsid w:val="00215239"/>
    <w:rsid w:val="0021530E"/>
    <w:rsid w:val="00216B2C"/>
    <w:rsid w:val="002174C4"/>
    <w:rsid w:val="00220577"/>
    <w:rsid w:val="0022231A"/>
    <w:rsid w:val="002223CC"/>
    <w:rsid w:val="002228F1"/>
    <w:rsid w:val="00224361"/>
    <w:rsid w:val="00225303"/>
    <w:rsid w:val="00226F7A"/>
    <w:rsid w:val="002270D8"/>
    <w:rsid w:val="00227243"/>
    <w:rsid w:val="002277ED"/>
    <w:rsid w:val="002301A0"/>
    <w:rsid w:val="00230668"/>
    <w:rsid w:val="00230D73"/>
    <w:rsid w:val="002314FF"/>
    <w:rsid w:val="00231502"/>
    <w:rsid w:val="00231678"/>
    <w:rsid w:val="00232460"/>
    <w:rsid w:val="00232DEC"/>
    <w:rsid w:val="002350FD"/>
    <w:rsid w:val="00235293"/>
    <w:rsid w:val="0023671B"/>
    <w:rsid w:val="00237438"/>
    <w:rsid w:val="0023758C"/>
    <w:rsid w:val="002377C8"/>
    <w:rsid w:val="00237D42"/>
    <w:rsid w:val="00240C65"/>
    <w:rsid w:val="00241928"/>
    <w:rsid w:val="00241B83"/>
    <w:rsid w:val="002429C1"/>
    <w:rsid w:val="00243F7C"/>
    <w:rsid w:val="00244128"/>
    <w:rsid w:val="002453AA"/>
    <w:rsid w:val="002454A2"/>
    <w:rsid w:val="00245979"/>
    <w:rsid w:val="00246127"/>
    <w:rsid w:val="002461E1"/>
    <w:rsid w:val="0024740E"/>
    <w:rsid w:val="00247A32"/>
    <w:rsid w:val="00247EEC"/>
    <w:rsid w:val="00251099"/>
    <w:rsid w:val="00251886"/>
    <w:rsid w:val="002530BE"/>
    <w:rsid w:val="00253197"/>
    <w:rsid w:val="00254B65"/>
    <w:rsid w:val="00254E25"/>
    <w:rsid w:val="0025588E"/>
    <w:rsid w:val="00255F3B"/>
    <w:rsid w:val="00256D80"/>
    <w:rsid w:val="00256DA2"/>
    <w:rsid w:val="00257324"/>
    <w:rsid w:val="00257537"/>
    <w:rsid w:val="002576F3"/>
    <w:rsid w:val="002579D8"/>
    <w:rsid w:val="00257A5C"/>
    <w:rsid w:val="00260677"/>
    <w:rsid w:val="00260DF8"/>
    <w:rsid w:val="0026106C"/>
    <w:rsid w:val="002641F7"/>
    <w:rsid w:val="002659A9"/>
    <w:rsid w:val="00265CC7"/>
    <w:rsid w:val="00265F72"/>
    <w:rsid w:val="00266285"/>
    <w:rsid w:val="00266D8F"/>
    <w:rsid w:val="0026787F"/>
    <w:rsid w:val="00267978"/>
    <w:rsid w:val="00270AD8"/>
    <w:rsid w:val="0027129D"/>
    <w:rsid w:val="0027139B"/>
    <w:rsid w:val="002717B4"/>
    <w:rsid w:val="00272CA2"/>
    <w:rsid w:val="0027523F"/>
    <w:rsid w:val="00275780"/>
    <w:rsid w:val="002765F4"/>
    <w:rsid w:val="00276C6D"/>
    <w:rsid w:val="0027772F"/>
    <w:rsid w:val="00277EE6"/>
    <w:rsid w:val="002802D5"/>
    <w:rsid w:val="0028118F"/>
    <w:rsid w:val="0028125E"/>
    <w:rsid w:val="002825B1"/>
    <w:rsid w:val="00282A8C"/>
    <w:rsid w:val="00283BB1"/>
    <w:rsid w:val="00283D36"/>
    <w:rsid w:val="00285BDE"/>
    <w:rsid w:val="00287506"/>
    <w:rsid w:val="002877E6"/>
    <w:rsid w:val="00290F02"/>
    <w:rsid w:val="00291A46"/>
    <w:rsid w:val="00292921"/>
    <w:rsid w:val="00292A2D"/>
    <w:rsid w:val="00292AE9"/>
    <w:rsid w:val="00293C13"/>
    <w:rsid w:val="00293EA9"/>
    <w:rsid w:val="00294784"/>
    <w:rsid w:val="00294809"/>
    <w:rsid w:val="00294844"/>
    <w:rsid w:val="002951D3"/>
    <w:rsid w:val="00297090"/>
    <w:rsid w:val="00297B99"/>
    <w:rsid w:val="002A07AC"/>
    <w:rsid w:val="002A18CB"/>
    <w:rsid w:val="002A2655"/>
    <w:rsid w:val="002A5533"/>
    <w:rsid w:val="002A6CA3"/>
    <w:rsid w:val="002B1266"/>
    <w:rsid w:val="002B1412"/>
    <w:rsid w:val="002B21F6"/>
    <w:rsid w:val="002B3DFD"/>
    <w:rsid w:val="002B656E"/>
    <w:rsid w:val="002B6B04"/>
    <w:rsid w:val="002B6EBD"/>
    <w:rsid w:val="002B7E2B"/>
    <w:rsid w:val="002C148C"/>
    <w:rsid w:val="002C1EAC"/>
    <w:rsid w:val="002C2687"/>
    <w:rsid w:val="002C28B9"/>
    <w:rsid w:val="002C2D6F"/>
    <w:rsid w:val="002C4310"/>
    <w:rsid w:val="002C56DD"/>
    <w:rsid w:val="002C60B1"/>
    <w:rsid w:val="002C6EE4"/>
    <w:rsid w:val="002D0171"/>
    <w:rsid w:val="002D040C"/>
    <w:rsid w:val="002D1498"/>
    <w:rsid w:val="002D215B"/>
    <w:rsid w:val="002D3092"/>
    <w:rsid w:val="002D4FDD"/>
    <w:rsid w:val="002D53B6"/>
    <w:rsid w:val="002D556E"/>
    <w:rsid w:val="002D5E19"/>
    <w:rsid w:val="002D7C50"/>
    <w:rsid w:val="002E0649"/>
    <w:rsid w:val="002E0DC5"/>
    <w:rsid w:val="002E37F1"/>
    <w:rsid w:val="002E4AA2"/>
    <w:rsid w:val="002E6993"/>
    <w:rsid w:val="002E79D3"/>
    <w:rsid w:val="002E7DC2"/>
    <w:rsid w:val="002F1050"/>
    <w:rsid w:val="002F13AB"/>
    <w:rsid w:val="002F1405"/>
    <w:rsid w:val="002F1978"/>
    <w:rsid w:val="002F2F1E"/>
    <w:rsid w:val="002F3C8B"/>
    <w:rsid w:val="002F4EF7"/>
    <w:rsid w:val="002F6B77"/>
    <w:rsid w:val="002F6D36"/>
    <w:rsid w:val="002F6E4C"/>
    <w:rsid w:val="002F74A4"/>
    <w:rsid w:val="00301712"/>
    <w:rsid w:val="00301C66"/>
    <w:rsid w:val="00301F6B"/>
    <w:rsid w:val="00302BA8"/>
    <w:rsid w:val="00303A5B"/>
    <w:rsid w:val="00303AB0"/>
    <w:rsid w:val="00304502"/>
    <w:rsid w:val="003056F0"/>
    <w:rsid w:val="00305A66"/>
    <w:rsid w:val="00305AAB"/>
    <w:rsid w:val="00305B2D"/>
    <w:rsid w:val="00307806"/>
    <w:rsid w:val="00307A04"/>
    <w:rsid w:val="00307A48"/>
    <w:rsid w:val="00310600"/>
    <w:rsid w:val="00310F6E"/>
    <w:rsid w:val="00313402"/>
    <w:rsid w:val="00314B95"/>
    <w:rsid w:val="00314FC5"/>
    <w:rsid w:val="003151FE"/>
    <w:rsid w:val="003158DE"/>
    <w:rsid w:val="00317000"/>
    <w:rsid w:val="003204F5"/>
    <w:rsid w:val="003207AE"/>
    <w:rsid w:val="003210A9"/>
    <w:rsid w:val="00321FF4"/>
    <w:rsid w:val="00323079"/>
    <w:rsid w:val="0032331E"/>
    <w:rsid w:val="00324225"/>
    <w:rsid w:val="00324FCD"/>
    <w:rsid w:val="00326B44"/>
    <w:rsid w:val="00330368"/>
    <w:rsid w:val="00330E16"/>
    <w:rsid w:val="00331849"/>
    <w:rsid w:val="00332773"/>
    <w:rsid w:val="00333859"/>
    <w:rsid w:val="0033418E"/>
    <w:rsid w:val="0033438D"/>
    <w:rsid w:val="00336495"/>
    <w:rsid w:val="0033695B"/>
    <w:rsid w:val="00336A66"/>
    <w:rsid w:val="00336BDB"/>
    <w:rsid w:val="00337987"/>
    <w:rsid w:val="00341C6F"/>
    <w:rsid w:val="00341DBE"/>
    <w:rsid w:val="003428FD"/>
    <w:rsid w:val="00342DD8"/>
    <w:rsid w:val="003432F5"/>
    <w:rsid w:val="003439AA"/>
    <w:rsid w:val="00344DBC"/>
    <w:rsid w:val="003451F0"/>
    <w:rsid w:val="00345B64"/>
    <w:rsid w:val="00345BB7"/>
    <w:rsid w:val="00350490"/>
    <w:rsid w:val="00352FDF"/>
    <w:rsid w:val="003534DA"/>
    <w:rsid w:val="0035399D"/>
    <w:rsid w:val="003540DF"/>
    <w:rsid w:val="00355359"/>
    <w:rsid w:val="003557C1"/>
    <w:rsid w:val="00355E5F"/>
    <w:rsid w:val="00356344"/>
    <w:rsid w:val="003563D8"/>
    <w:rsid w:val="00356DA7"/>
    <w:rsid w:val="003602BC"/>
    <w:rsid w:val="0036159D"/>
    <w:rsid w:val="0036165B"/>
    <w:rsid w:val="00361E21"/>
    <w:rsid w:val="00362B99"/>
    <w:rsid w:val="00363BD6"/>
    <w:rsid w:val="00364197"/>
    <w:rsid w:val="00364A8E"/>
    <w:rsid w:val="00364E41"/>
    <w:rsid w:val="00365A8A"/>
    <w:rsid w:val="00366BC9"/>
    <w:rsid w:val="00367908"/>
    <w:rsid w:val="00372800"/>
    <w:rsid w:val="0037305A"/>
    <w:rsid w:val="00373650"/>
    <w:rsid w:val="00373DD9"/>
    <w:rsid w:val="00376268"/>
    <w:rsid w:val="0037635E"/>
    <w:rsid w:val="00377098"/>
    <w:rsid w:val="003774A8"/>
    <w:rsid w:val="003800E1"/>
    <w:rsid w:val="00380EE8"/>
    <w:rsid w:val="00380F9E"/>
    <w:rsid w:val="003817A6"/>
    <w:rsid w:val="00382BF5"/>
    <w:rsid w:val="003830E5"/>
    <w:rsid w:val="0038365A"/>
    <w:rsid w:val="00383F49"/>
    <w:rsid w:val="0039011E"/>
    <w:rsid w:val="00390A58"/>
    <w:rsid w:val="00391D34"/>
    <w:rsid w:val="00392884"/>
    <w:rsid w:val="00392AE4"/>
    <w:rsid w:val="00394B70"/>
    <w:rsid w:val="003951F0"/>
    <w:rsid w:val="00396182"/>
    <w:rsid w:val="003963C3"/>
    <w:rsid w:val="00396D6E"/>
    <w:rsid w:val="0039716E"/>
    <w:rsid w:val="00397A25"/>
    <w:rsid w:val="00397B16"/>
    <w:rsid w:val="003A0391"/>
    <w:rsid w:val="003A0B2F"/>
    <w:rsid w:val="003A31CA"/>
    <w:rsid w:val="003A3A0E"/>
    <w:rsid w:val="003A411D"/>
    <w:rsid w:val="003A46C2"/>
    <w:rsid w:val="003A5202"/>
    <w:rsid w:val="003A5920"/>
    <w:rsid w:val="003A5A37"/>
    <w:rsid w:val="003A672D"/>
    <w:rsid w:val="003A68C5"/>
    <w:rsid w:val="003A741D"/>
    <w:rsid w:val="003B0416"/>
    <w:rsid w:val="003B33B7"/>
    <w:rsid w:val="003B371C"/>
    <w:rsid w:val="003B3C6C"/>
    <w:rsid w:val="003B4DBA"/>
    <w:rsid w:val="003B50D2"/>
    <w:rsid w:val="003B5119"/>
    <w:rsid w:val="003B53D7"/>
    <w:rsid w:val="003B6948"/>
    <w:rsid w:val="003B6E1A"/>
    <w:rsid w:val="003B7173"/>
    <w:rsid w:val="003B79CC"/>
    <w:rsid w:val="003C1FDC"/>
    <w:rsid w:val="003C239B"/>
    <w:rsid w:val="003C305E"/>
    <w:rsid w:val="003C363A"/>
    <w:rsid w:val="003C3870"/>
    <w:rsid w:val="003C3DEC"/>
    <w:rsid w:val="003C4326"/>
    <w:rsid w:val="003C4DCB"/>
    <w:rsid w:val="003C5040"/>
    <w:rsid w:val="003C662B"/>
    <w:rsid w:val="003C6659"/>
    <w:rsid w:val="003C6AA6"/>
    <w:rsid w:val="003C6C0C"/>
    <w:rsid w:val="003D0EA6"/>
    <w:rsid w:val="003D1E92"/>
    <w:rsid w:val="003D303D"/>
    <w:rsid w:val="003D3C0E"/>
    <w:rsid w:val="003D6324"/>
    <w:rsid w:val="003D7298"/>
    <w:rsid w:val="003E0727"/>
    <w:rsid w:val="003E1816"/>
    <w:rsid w:val="003E3FEA"/>
    <w:rsid w:val="003E5020"/>
    <w:rsid w:val="003E7CDE"/>
    <w:rsid w:val="003F18A7"/>
    <w:rsid w:val="003F220E"/>
    <w:rsid w:val="003F25A1"/>
    <w:rsid w:val="003F2962"/>
    <w:rsid w:val="003F29A3"/>
    <w:rsid w:val="003F312D"/>
    <w:rsid w:val="003F3A68"/>
    <w:rsid w:val="003F406C"/>
    <w:rsid w:val="003F4377"/>
    <w:rsid w:val="003F43A7"/>
    <w:rsid w:val="003F50C7"/>
    <w:rsid w:val="003F719B"/>
    <w:rsid w:val="003F7D0A"/>
    <w:rsid w:val="004000EC"/>
    <w:rsid w:val="004004F2"/>
    <w:rsid w:val="00400CD5"/>
    <w:rsid w:val="00403052"/>
    <w:rsid w:val="00403F5B"/>
    <w:rsid w:val="00404102"/>
    <w:rsid w:val="00404FB3"/>
    <w:rsid w:val="00405242"/>
    <w:rsid w:val="00405438"/>
    <w:rsid w:val="0040604D"/>
    <w:rsid w:val="00406BEE"/>
    <w:rsid w:val="00407A1C"/>
    <w:rsid w:val="00410557"/>
    <w:rsid w:val="0041081C"/>
    <w:rsid w:val="004112F9"/>
    <w:rsid w:val="00411B20"/>
    <w:rsid w:val="00413417"/>
    <w:rsid w:val="004145AE"/>
    <w:rsid w:val="00414973"/>
    <w:rsid w:val="00414C95"/>
    <w:rsid w:val="00414CFA"/>
    <w:rsid w:val="004154ED"/>
    <w:rsid w:val="00415CA8"/>
    <w:rsid w:val="00416D7C"/>
    <w:rsid w:val="00421C6A"/>
    <w:rsid w:val="0042341E"/>
    <w:rsid w:val="004236C2"/>
    <w:rsid w:val="00424C33"/>
    <w:rsid w:val="00425554"/>
    <w:rsid w:val="00425614"/>
    <w:rsid w:val="0042625B"/>
    <w:rsid w:val="004262AD"/>
    <w:rsid w:val="004268DE"/>
    <w:rsid w:val="004272A0"/>
    <w:rsid w:val="004278F3"/>
    <w:rsid w:val="00427AA6"/>
    <w:rsid w:val="00427C54"/>
    <w:rsid w:val="004307D4"/>
    <w:rsid w:val="00430CBE"/>
    <w:rsid w:val="004329C0"/>
    <w:rsid w:val="00432F0C"/>
    <w:rsid w:val="004331DB"/>
    <w:rsid w:val="004361D8"/>
    <w:rsid w:val="004363E5"/>
    <w:rsid w:val="00436B02"/>
    <w:rsid w:val="00436F1B"/>
    <w:rsid w:val="00437441"/>
    <w:rsid w:val="0044093E"/>
    <w:rsid w:val="00440BFB"/>
    <w:rsid w:val="004419DB"/>
    <w:rsid w:val="004425D8"/>
    <w:rsid w:val="004432C7"/>
    <w:rsid w:val="00444507"/>
    <w:rsid w:val="0045062A"/>
    <w:rsid w:val="00450CB1"/>
    <w:rsid w:val="004511CD"/>
    <w:rsid w:val="00451511"/>
    <w:rsid w:val="00451981"/>
    <w:rsid w:val="00451E80"/>
    <w:rsid w:val="00451EE9"/>
    <w:rsid w:val="00452008"/>
    <w:rsid w:val="00452F3A"/>
    <w:rsid w:val="00453308"/>
    <w:rsid w:val="00454B07"/>
    <w:rsid w:val="00454E57"/>
    <w:rsid w:val="00454F89"/>
    <w:rsid w:val="004555BD"/>
    <w:rsid w:val="00456622"/>
    <w:rsid w:val="00457852"/>
    <w:rsid w:val="00457F68"/>
    <w:rsid w:val="00460FC0"/>
    <w:rsid w:val="00463CDD"/>
    <w:rsid w:val="0046410D"/>
    <w:rsid w:val="004660AC"/>
    <w:rsid w:val="00466734"/>
    <w:rsid w:val="00466B97"/>
    <w:rsid w:val="00466D19"/>
    <w:rsid w:val="00466FFD"/>
    <w:rsid w:val="004677F2"/>
    <w:rsid w:val="00467ABF"/>
    <w:rsid w:val="0047038C"/>
    <w:rsid w:val="00470394"/>
    <w:rsid w:val="00471AC9"/>
    <w:rsid w:val="004720C2"/>
    <w:rsid w:val="00473948"/>
    <w:rsid w:val="0047593E"/>
    <w:rsid w:val="00475FCA"/>
    <w:rsid w:val="00476128"/>
    <w:rsid w:val="00477720"/>
    <w:rsid w:val="00480036"/>
    <w:rsid w:val="00481EE4"/>
    <w:rsid w:val="00483B05"/>
    <w:rsid w:val="0048417C"/>
    <w:rsid w:val="00485F73"/>
    <w:rsid w:val="004860C2"/>
    <w:rsid w:val="0048671E"/>
    <w:rsid w:val="0048797D"/>
    <w:rsid w:val="004902CF"/>
    <w:rsid w:val="00490F4B"/>
    <w:rsid w:val="00491ADD"/>
    <w:rsid w:val="004923DE"/>
    <w:rsid w:val="00493FF7"/>
    <w:rsid w:val="00494094"/>
    <w:rsid w:val="0049416E"/>
    <w:rsid w:val="00494BAE"/>
    <w:rsid w:val="00495435"/>
    <w:rsid w:val="0049597B"/>
    <w:rsid w:val="00495D1F"/>
    <w:rsid w:val="004A38B4"/>
    <w:rsid w:val="004A39F5"/>
    <w:rsid w:val="004A3CD0"/>
    <w:rsid w:val="004A57FF"/>
    <w:rsid w:val="004B03E8"/>
    <w:rsid w:val="004B10D6"/>
    <w:rsid w:val="004B17A7"/>
    <w:rsid w:val="004B1ABC"/>
    <w:rsid w:val="004B3045"/>
    <w:rsid w:val="004B3C06"/>
    <w:rsid w:val="004B4E44"/>
    <w:rsid w:val="004B5835"/>
    <w:rsid w:val="004B5B6B"/>
    <w:rsid w:val="004B68BA"/>
    <w:rsid w:val="004B6F84"/>
    <w:rsid w:val="004C140F"/>
    <w:rsid w:val="004C318E"/>
    <w:rsid w:val="004C3854"/>
    <w:rsid w:val="004C39E6"/>
    <w:rsid w:val="004C43E7"/>
    <w:rsid w:val="004C4C1C"/>
    <w:rsid w:val="004C69B8"/>
    <w:rsid w:val="004C6FDB"/>
    <w:rsid w:val="004C7BFE"/>
    <w:rsid w:val="004D0BCD"/>
    <w:rsid w:val="004D19D9"/>
    <w:rsid w:val="004D1A31"/>
    <w:rsid w:val="004D2659"/>
    <w:rsid w:val="004D31D5"/>
    <w:rsid w:val="004D36CC"/>
    <w:rsid w:val="004D4739"/>
    <w:rsid w:val="004D4A17"/>
    <w:rsid w:val="004D5676"/>
    <w:rsid w:val="004D5BA5"/>
    <w:rsid w:val="004D5F96"/>
    <w:rsid w:val="004D6D34"/>
    <w:rsid w:val="004D7325"/>
    <w:rsid w:val="004D7407"/>
    <w:rsid w:val="004E45B6"/>
    <w:rsid w:val="004E473E"/>
    <w:rsid w:val="004E49B4"/>
    <w:rsid w:val="004E4B6D"/>
    <w:rsid w:val="004E67B0"/>
    <w:rsid w:val="004E67E2"/>
    <w:rsid w:val="004E6F3A"/>
    <w:rsid w:val="004F11CF"/>
    <w:rsid w:val="004F2952"/>
    <w:rsid w:val="004F327C"/>
    <w:rsid w:val="004F3DBA"/>
    <w:rsid w:val="004F41DF"/>
    <w:rsid w:val="004F64ED"/>
    <w:rsid w:val="004F7101"/>
    <w:rsid w:val="004F7F78"/>
    <w:rsid w:val="005005B0"/>
    <w:rsid w:val="00500E33"/>
    <w:rsid w:val="00500F57"/>
    <w:rsid w:val="00501CC9"/>
    <w:rsid w:val="005024D2"/>
    <w:rsid w:val="00502B8A"/>
    <w:rsid w:val="00502DB7"/>
    <w:rsid w:val="005035B7"/>
    <w:rsid w:val="00503B17"/>
    <w:rsid w:val="00503F94"/>
    <w:rsid w:val="005047F0"/>
    <w:rsid w:val="00504A06"/>
    <w:rsid w:val="00504FB9"/>
    <w:rsid w:val="00506806"/>
    <w:rsid w:val="00507BDF"/>
    <w:rsid w:val="00510C4C"/>
    <w:rsid w:val="00512113"/>
    <w:rsid w:val="005128E7"/>
    <w:rsid w:val="00513C12"/>
    <w:rsid w:val="00514D32"/>
    <w:rsid w:val="00516209"/>
    <w:rsid w:val="005167A3"/>
    <w:rsid w:val="005179F8"/>
    <w:rsid w:val="00520402"/>
    <w:rsid w:val="00520AC7"/>
    <w:rsid w:val="005213AD"/>
    <w:rsid w:val="00523625"/>
    <w:rsid w:val="005236E5"/>
    <w:rsid w:val="00523C7B"/>
    <w:rsid w:val="005258FB"/>
    <w:rsid w:val="00526985"/>
    <w:rsid w:val="00530B9F"/>
    <w:rsid w:val="00530F0F"/>
    <w:rsid w:val="00532CBB"/>
    <w:rsid w:val="00532E16"/>
    <w:rsid w:val="005338C8"/>
    <w:rsid w:val="0053435F"/>
    <w:rsid w:val="00534750"/>
    <w:rsid w:val="00534B79"/>
    <w:rsid w:val="00534C43"/>
    <w:rsid w:val="0053521A"/>
    <w:rsid w:val="0054029C"/>
    <w:rsid w:val="00540B0A"/>
    <w:rsid w:val="00542054"/>
    <w:rsid w:val="00542230"/>
    <w:rsid w:val="00542281"/>
    <w:rsid w:val="005453F4"/>
    <w:rsid w:val="00545899"/>
    <w:rsid w:val="005472D4"/>
    <w:rsid w:val="005479FB"/>
    <w:rsid w:val="00547D47"/>
    <w:rsid w:val="00547F03"/>
    <w:rsid w:val="00550CF5"/>
    <w:rsid w:val="00553ECE"/>
    <w:rsid w:val="00554192"/>
    <w:rsid w:val="00554D41"/>
    <w:rsid w:val="00555550"/>
    <w:rsid w:val="005561C5"/>
    <w:rsid w:val="0055683A"/>
    <w:rsid w:val="00556A06"/>
    <w:rsid w:val="00557BB5"/>
    <w:rsid w:val="00557E93"/>
    <w:rsid w:val="0056096B"/>
    <w:rsid w:val="005631B7"/>
    <w:rsid w:val="0056391C"/>
    <w:rsid w:val="0056457F"/>
    <w:rsid w:val="00564C5D"/>
    <w:rsid w:val="005658DD"/>
    <w:rsid w:val="0056786E"/>
    <w:rsid w:val="00567D2B"/>
    <w:rsid w:val="0057142B"/>
    <w:rsid w:val="00573630"/>
    <w:rsid w:val="005768BB"/>
    <w:rsid w:val="005770AB"/>
    <w:rsid w:val="00577932"/>
    <w:rsid w:val="00577E8A"/>
    <w:rsid w:val="005805D7"/>
    <w:rsid w:val="00581356"/>
    <w:rsid w:val="00581B6F"/>
    <w:rsid w:val="005828DB"/>
    <w:rsid w:val="00582DE6"/>
    <w:rsid w:val="0058323A"/>
    <w:rsid w:val="00583FBF"/>
    <w:rsid w:val="00584027"/>
    <w:rsid w:val="0058484C"/>
    <w:rsid w:val="00587A72"/>
    <w:rsid w:val="00587CA4"/>
    <w:rsid w:val="00590713"/>
    <w:rsid w:val="00592EFF"/>
    <w:rsid w:val="00593768"/>
    <w:rsid w:val="00593C9B"/>
    <w:rsid w:val="00594212"/>
    <w:rsid w:val="00594556"/>
    <w:rsid w:val="005949E8"/>
    <w:rsid w:val="005954E4"/>
    <w:rsid w:val="005958EF"/>
    <w:rsid w:val="00595C95"/>
    <w:rsid w:val="00595F8C"/>
    <w:rsid w:val="00595FF3"/>
    <w:rsid w:val="00596693"/>
    <w:rsid w:val="005A18BA"/>
    <w:rsid w:val="005A1D70"/>
    <w:rsid w:val="005A1DC3"/>
    <w:rsid w:val="005A3563"/>
    <w:rsid w:val="005A3B66"/>
    <w:rsid w:val="005A4184"/>
    <w:rsid w:val="005A4D82"/>
    <w:rsid w:val="005A5215"/>
    <w:rsid w:val="005A56DD"/>
    <w:rsid w:val="005A72C8"/>
    <w:rsid w:val="005A7EEB"/>
    <w:rsid w:val="005B0299"/>
    <w:rsid w:val="005B0CED"/>
    <w:rsid w:val="005B21FD"/>
    <w:rsid w:val="005B22A8"/>
    <w:rsid w:val="005B23B4"/>
    <w:rsid w:val="005B2EAD"/>
    <w:rsid w:val="005B3BF9"/>
    <w:rsid w:val="005B421D"/>
    <w:rsid w:val="005B48AA"/>
    <w:rsid w:val="005B52BD"/>
    <w:rsid w:val="005B586A"/>
    <w:rsid w:val="005B60F4"/>
    <w:rsid w:val="005B771B"/>
    <w:rsid w:val="005C0069"/>
    <w:rsid w:val="005C0541"/>
    <w:rsid w:val="005C08BE"/>
    <w:rsid w:val="005C23B8"/>
    <w:rsid w:val="005C2BAA"/>
    <w:rsid w:val="005C3E14"/>
    <w:rsid w:val="005C5A68"/>
    <w:rsid w:val="005C5F81"/>
    <w:rsid w:val="005C763B"/>
    <w:rsid w:val="005C7F64"/>
    <w:rsid w:val="005D0094"/>
    <w:rsid w:val="005D0F9D"/>
    <w:rsid w:val="005D172D"/>
    <w:rsid w:val="005D2413"/>
    <w:rsid w:val="005D33AB"/>
    <w:rsid w:val="005D39D4"/>
    <w:rsid w:val="005D3A92"/>
    <w:rsid w:val="005D40F9"/>
    <w:rsid w:val="005D46E2"/>
    <w:rsid w:val="005D4D14"/>
    <w:rsid w:val="005D5794"/>
    <w:rsid w:val="005D5C44"/>
    <w:rsid w:val="005D653C"/>
    <w:rsid w:val="005D6C51"/>
    <w:rsid w:val="005D6D0E"/>
    <w:rsid w:val="005D6F49"/>
    <w:rsid w:val="005D7289"/>
    <w:rsid w:val="005E05B1"/>
    <w:rsid w:val="005E0890"/>
    <w:rsid w:val="005E1840"/>
    <w:rsid w:val="005E1A0A"/>
    <w:rsid w:val="005E3DA9"/>
    <w:rsid w:val="005E42C7"/>
    <w:rsid w:val="005E4D8B"/>
    <w:rsid w:val="005E4F63"/>
    <w:rsid w:val="005E726C"/>
    <w:rsid w:val="005E7410"/>
    <w:rsid w:val="005E75F6"/>
    <w:rsid w:val="005E7A6D"/>
    <w:rsid w:val="005F2100"/>
    <w:rsid w:val="005F32E1"/>
    <w:rsid w:val="005F4063"/>
    <w:rsid w:val="005F72C6"/>
    <w:rsid w:val="00600448"/>
    <w:rsid w:val="006004E0"/>
    <w:rsid w:val="0060123E"/>
    <w:rsid w:val="0060311A"/>
    <w:rsid w:val="006053F5"/>
    <w:rsid w:val="00606E72"/>
    <w:rsid w:val="00607247"/>
    <w:rsid w:val="00610459"/>
    <w:rsid w:val="00610631"/>
    <w:rsid w:val="00610C2E"/>
    <w:rsid w:val="00612A97"/>
    <w:rsid w:val="0061359C"/>
    <w:rsid w:val="00613889"/>
    <w:rsid w:val="00613F11"/>
    <w:rsid w:val="0061504F"/>
    <w:rsid w:val="00615A48"/>
    <w:rsid w:val="00615D0C"/>
    <w:rsid w:val="00616C73"/>
    <w:rsid w:val="00617512"/>
    <w:rsid w:val="006179D8"/>
    <w:rsid w:val="0062133C"/>
    <w:rsid w:val="00621A7A"/>
    <w:rsid w:val="00621D13"/>
    <w:rsid w:val="006236B1"/>
    <w:rsid w:val="00623A4B"/>
    <w:rsid w:val="00624806"/>
    <w:rsid w:val="00624A67"/>
    <w:rsid w:val="006255F5"/>
    <w:rsid w:val="006315A5"/>
    <w:rsid w:val="00632201"/>
    <w:rsid w:val="00632451"/>
    <w:rsid w:val="006326D4"/>
    <w:rsid w:val="00632A39"/>
    <w:rsid w:val="0063383F"/>
    <w:rsid w:val="00633B34"/>
    <w:rsid w:val="00633B88"/>
    <w:rsid w:val="00634CA9"/>
    <w:rsid w:val="0063621C"/>
    <w:rsid w:val="00637893"/>
    <w:rsid w:val="00637DD7"/>
    <w:rsid w:val="00640768"/>
    <w:rsid w:val="006429FC"/>
    <w:rsid w:val="0064538F"/>
    <w:rsid w:val="00645822"/>
    <w:rsid w:val="006458C6"/>
    <w:rsid w:val="00647F6F"/>
    <w:rsid w:val="006514A1"/>
    <w:rsid w:val="00651AD6"/>
    <w:rsid w:val="00651C87"/>
    <w:rsid w:val="00651CF1"/>
    <w:rsid w:val="0065245E"/>
    <w:rsid w:val="00652492"/>
    <w:rsid w:val="00652FC1"/>
    <w:rsid w:val="00653693"/>
    <w:rsid w:val="0065371D"/>
    <w:rsid w:val="0065451B"/>
    <w:rsid w:val="00655737"/>
    <w:rsid w:val="00655E05"/>
    <w:rsid w:val="00655E9B"/>
    <w:rsid w:val="0065689B"/>
    <w:rsid w:val="00657D82"/>
    <w:rsid w:val="0066161A"/>
    <w:rsid w:val="00663053"/>
    <w:rsid w:val="0066504D"/>
    <w:rsid w:val="006655FE"/>
    <w:rsid w:val="00665639"/>
    <w:rsid w:val="00665C35"/>
    <w:rsid w:val="00665F78"/>
    <w:rsid w:val="006660C8"/>
    <w:rsid w:val="00666F4D"/>
    <w:rsid w:val="00667E62"/>
    <w:rsid w:val="0067035E"/>
    <w:rsid w:val="006709B7"/>
    <w:rsid w:val="006711DB"/>
    <w:rsid w:val="00671BC7"/>
    <w:rsid w:val="0067256B"/>
    <w:rsid w:val="0067273C"/>
    <w:rsid w:val="00672763"/>
    <w:rsid w:val="00673360"/>
    <w:rsid w:val="00673856"/>
    <w:rsid w:val="0067400C"/>
    <w:rsid w:val="0067689C"/>
    <w:rsid w:val="006768FD"/>
    <w:rsid w:val="00676BFE"/>
    <w:rsid w:val="00683978"/>
    <w:rsid w:val="00684B35"/>
    <w:rsid w:val="00685491"/>
    <w:rsid w:val="00685A8D"/>
    <w:rsid w:val="00686183"/>
    <w:rsid w:val="00687316"/>
    <w:rsid w:val="00687D21"/>
    <w:rsid w:val="00690A5C"/>
    <w:rsid w:val="00692970"/>
    <w:rsid w:val="00694A34"/>
    <w:rsid w:val="00696146"/>
    <w:rsid w:val="00696312"/>
    <w:rsid w:val="006976C7"/>
    <w:rsid w:val="006A1537"/>
    <w:rsid w:val="006A1FD4"/>
    <w:rsid w:val="006A46C2"/>
    <w:rsid w:val="006A4E1D"/>
    <w:rsid w:val="006A4E49"/>
    <w:rsid w:val="006A5028"/>
    <w:rsid w:val="006A5453"/>
    <w:rsid w:val="006A56B7"/>
    <w:rsid w:val="006A63E9"/>
    <w:rsid w:val="006B0F8B"/>
    <w:rsid w:val="006B10A6"/>
    <w:rsid w:val="006B2275"/>
    <w:rsid w:val="006B2F4A"/>
    <w:rsid w:val="006B5323"/>
    <w:rsid w:val="006B560B"/>
    <w:rsid w:val="006B69B1"/>
    <w:rsid w:val="006B6F85"/>
    <w:rsid w:val="006C05C5"/>
    <w:rsid w:val="006C07AA"/>
    <w:rsid w:val="006C1D81"/>
    <w:rsid w:val="006C1ECD"/>
    <w:rsid w:val="006C1F24"/>
    <w:rsid w:val="006C2D3D"/>
    <w:rsid w:val="006C396C"/>
    <w:rsid w:val="006C4971"/>
    <w:rsid w:val="006C6285"/>
    <w:rsid w:val="006C6342"/>
    <w:rsid w:val="006C7FF9"/>
    <w:rsid w:val="006D1067"/>
    <w:rsid w:val="006D1772"/>
    <w:rsid w:val="006D1C06"/>
    <w:rsid w:val="006D337A"/>
    <w:rsid w:val="006D3DE7"/>
    <w:rsid w:val="006D406A"/>
    <w:rsid w:val="006D460D"/>
    <w:rsid w:val="006D5BEF"/>
    <w:rsid w:val="006D5D05"/>
    <w:rsid w:val="006D6941"/>
    <w:rsid w:val="006D717C"/>
    <w:rsid w:val="006D7BE8"/>
    <w:rsid w:val="006E2297"/>
    <w:rsid w:val="006E25EB"/>
    <w:rsid w:val="006E277D"/>
    <w:rsid w:val="006E368D"/>
    <w:rsid w:val="006E3888"/>
    <w:rsid w:val="006E4802"/>
    <w:rsid w:val="006E4C33"/>
    <w:rsid w:val="006E64CE"/>
    <w:rsid w:val="006E73C9"/>
    <w:rsid w:val="006E79BD"/>
    <w:rsid w:val="006E7A49"/>
    <w:rsid w:val="006F03BF"/>
    <w:rsid w:val="006F10E6"/>
    <w:rsid w:val="006F1CB2"/>
    <w:rsid w:val="006F2599"/>
    <w:rsid w:val="006F3559"/>
    <w:rsid w:val="006F429D"/>
    <w:rsid w:val="006F45ED"/>
    <w:rsid w:val="006F4947"/>
    <w:rsid w:val="006F4F54"/>
    <w:rsid w:val="006F50C6"/>
    <w:rsid w:val="006F549C"/>
    <w:rsid w:val="006F5974"/>
    <w:rsid w:val="006F5B5E"/>
    <w:rsid w:val="006F5FE2"/>
    <w:rsid w:val="006F62FB"/>
    <w:rsid w:val="006F742E"/>
    <w:rsid w:val="006F7D02"/>
    <w:rsid w:val="00701224"/>
    <w:rsid w:val="00701EE0"/>
    <w:rsid w:val="00703146"/>
    <w:rsid w:val="00703534"/>
    <w:rsid w:val="007037F9"/>
    <w:rsid w:val="00703870"/>
    <w:rsid w:val="00704F71"/>
    <w:rsid w:val="00704FAC"/>
    <w:rsid w:val="00705304"/>
    <w:rsid w:val="00705CF4"/>
    <w:rsid w:val="007079CF"/>
    <w:rsid w:val="00707B6D"/>
    <w:rsid w:val="0071008C"/>
    <w:rsid w:val="007105C5"/>
    <w:rsid w:val="007106A2"/>
    <w:rsid w:val="00711472"/>
    <w:rsid w:val="00712AAC"/>
    <w:rsid w:val="00712E37"/>
    <w:rsid w:val="00713675"/>
    <w:rsid w:val="00713EBD"/>
    <w:rsid w:val="00714685"/>
    <w:rsid w:val="00714A89"/>
    <w:rsid w:val="007152D7"/>
    <w:rsid w:val="007159F5"/>
    <w:rsid w:val="00715C5C"/>
    <w:rsid w:val="00716AB0"/>
    <w:rsid w:val="00717528"/>
    <w:rsid w:val="00717B97"/>
    <w:rsid w:val="00721654"/>
    <w:rsid w:val="00721D44"/>
    <w:rsid w:val="0072363F"/>
    <w:rsid w:val="0072386D"/>
    <w:rsid w:val="00725A49"/>
    <w:rsid w:val="00726135"/>
    <w:rsid w:val="00726899"/>
    <w:rsid w:val="00727AEF"/>
    <w:rsid w:val="007309B1"/>
    <w:rsid w:val="00730FD0"/>
    <w:rsid w:val="007317EE"/>
    <w:rsid w:val="00731F69"/>
    <w:rsid w:val="007323EC"/>
    <w:rsid w:val="00732518"/>
    <w:rsid w:val="00732A7E"/>
    <w:rsid w:val="00732B0C"/>
    <w:rsid w:val="00732CE7"/>
    <w:rsid w:val="007333FA"/>
    <w:rsid w:val="00733805"/>
    <w:rsid w:val="00734874"/>
    <w:rsid w:val="00735F87"/>
    <w:rsid w:val="007365EF"/>
    <w:rsid w:val="00737360"/>
    <w:rsid w:val="00741706"/>
    <w:rsid w:val="00742CFE"/>
    <w:rsid w:val="00743713"/>
    <w:rsid w:val="007442D0"/>
    <w:rsid w:val="00744F0F"/>
    <w:rsid w:val="007463F9"/>
    <w:rsid w:val="00746FBA"/>
    <w:rsid w:val="00750F8C"/>
    <w:rsid w:val="007523F9"/>
    <w:rsid w:val="00752808"/>
    <w:rsid w:val="00752815"/>
    <w:rsid w:val="00754450"/>
    <w:rsid w:val="00757DBB"/>
    <w:rsid w:val="00757DCB"/>
    <w:rsid w:val="00757F51"/>
    <w:rsid w:val="00762340"/>
    <w:rsid w:val="0076283A"/>
    <w:rsid w:val="00763743"/>
    <w:rsid w:val="007645C1"/>
    <w:rsid w:val="00764618"/>
    <w:rsid w:val="0076504C"/>
    <w:rsid w:val="0076523A"/>
    <w:rsid w:val="007671A8"/>
    <w:rsid w:val="007708DD"/>
    <w:rsid w:val="00770F5B"/>
    <w:rsid w:val="0077201C"/>
    <w:rsid w:val="007728C0"/>
    <w:rsid w:val="00772DFF"/>
    <w:rsid w:val="0077306A"/>
    <w:rsid w:val="00773152"/>
    <w:rsid w:val="00773839"/>
    <w:rsid w:val="007754D3"/>
    <w:rsid w:val="00775613"/>
    <w:rsid w:val="00776D27"/>
    <w:rsid w:val="00777EF8"/>
    <w:rsid w:val="0078066A"/>
    <w:rsid w:val="0078215F"/>
    <w:rsid w:val="00783CF0"/>
    <w:rsid w:val="00785058"/>
    <w:rsid w:val="00785952"/>
    <w:rsid w:val="0078648D"/>
    <w:rsid w:val="007864EE"/>
    <w:rsid w:val="00786D74"/>
    <w:rsid w:val="0078771C"/>
    <w:rsid w:val="00787E37"/>
    <w:rsid w:val="00790A98"/>
    <w:rsid w:val="00796239"/>
    <w:rsid w:val="00796DB4"/>
    <w:rsid w:val="00797905"/>
    <w:rsid w:val="00797F32"/>
    <w:rsid w:val="007A0246"/>
    <w:rsid w:val="007A0894"/>
    <w:rsid w:val="007A3324"/>
    <w:rsid w:val="007A5240"/>
    <w:rsid w:val="007A53B0"/>
    <w:rsid w:val="007A5824"/>
    <w:rsid w:val="007A58A2"/>
    <w:rsid w:val="007A7350"/>
    <w:rsid w:val="007A7773"/>
    <w:rsid w:val="007A790A"/>
    <w:rsid w:val="007A7C2B"/>
    <w:rsid w:val="007B0442"/>
    <w:rsid w:val="007B0F1E"/>
    <w:rsid w:val="007B1DDF"/>
    <w:rsid w:val="007B2618"/>
    <w:rsid w:val="007B473E"/>
    <w:rsid w:val="007B50D0"/>
    <w:rsid w:val="007B580C"/>
    <w:rsid w:val="007B6741"/>
    <w:rsid w:val="007B6D4A"/>
    <w:rsid w:val="007C0D46"/>
    <w:rsid w:val="007C1015"/>
    <w:rsid w:val="007C15B7"/>
    <w:rsid w:val="007C1B93"/>
    <w:rsid w:val="007C1E35"/>
    <w:rsid w:val="007C2A84"/>
    <w:rsid w:val="007C3DAA"/>
    <w:rsid w:val="007C519B"/>
    <w:rsid w:val="007C6D5E"/>
    <w:rsid w:val="007C7634"/>
    <w:rsid w:val="007C76C0"/>
    <w:rsid w:val="007C7B2B"/>
    <w:rsid w:val="007C7EEB"/>
    <w:rsid w:val="007D073B"/>
    <w:rsid w:val="007D0B78"/>
    <w:rsid w:val="007D0D2D"/>
    <w:rsid w:val="007D2E07"/>
    <w:rsid w:val="007D2F69"/>
    <w:rsid w:val="007D7BD2"/>
    <w:rsid w:val="007E0E4F"/>
    <w:rsid w:val="007E1FA5"/>
    <w:rsid w:val="007E34BE"/>
    <w:rsid w:val="007E4E0C"/>
    <w:rsid w:val="007E602F"/>
    <w:rsid w:val="007E68C5"/>
    <w:rsid w:val="007E75DE"/>
    <w:rsid w:val="007F1078"/>
    <w:rsid w:val="007F14A6"/>
    <w:rsid w:val="007F4E52"/>
    <w:rsid w:val="007F5782"/>
    <w:rsid w:val="007F5833"/>
    <w:rsid w:val="0080061A"/>
    <w:rsid w:val="00800AD3"/>
    <w:rsid w:val="0080236C"/>
    <w:rsid w:val="00802D26"/>
    <w:rsid w:val="0080393A"/>
    <w:rsid w:val="0080470A"/>
    <w:rsid w:val="00807347"/>
    <w:rsid w:val="00807392"/>
    <w:rsid w:val="00807823"/>
    <w:rsid w:val="00811AF8"/>
    <w:rsid w:val="00811E1C"/>
    <w:rsid w:val="0081241C"/>
    <w:rsid w:val="00812585"/>
    <w:rsid w:val="00813193"/>
    <w:rsid w:val="0081412F"/>
    <w:rsid w:val="00815272"/>
    <w:rsid w:val="0081556A"/>
    <w:rsid w:val="008161D7"/>
    <w:rsid w:val="008174CE"/>
    <w:rsid w:val="00817F23"/>
    <w:rsid w:val="008200F9"/>
    <w:rsid w:val="00820A42"/>
    <w:rsid w:val="00820BE3"/>
    <w:rsid w:val="00820D87"/>
    <w:rsid w:val="0082124F"/>
    <w:rsid w:val="00821F69"/>
    <w:rsid w:val="00822028"/>
    <w:rsid w:val="00822172"/>
    <w:rsid w:val="008239E1"/>
    <w:rsid w:val="0082514F"/>
    <w:rsid w:val="0082517F"/>
    <w:rsid w:val="00825822"/>
    <w:rsid w:val="008258C2"/>
    <w:rsid w:val="00826317"/>
    <w:rsid w:val="00826E4E"/>
    <w:rsid w:val="00831084"/>
    <w:rsid w:val="0083246B"/>
    <w:rsid w:val="00833061"/>
    <w:rsid w:val="0083322E"/>
    <w:rsid w:val="00833A77"/>
    <w:rsid w:val="00833B75"/>
    <w:rsid w:val="00835AAA"/>
    <w:rsid w:val="00837878"/>
    <w:rsid w:val="008408BA"/>
    <w:rsid w:val="00844FA9"/>
    <w:rsid w:val="00845008"/>
    <w:rsid w:val="0084522E"/>
    <w:rsid w:val="00846285"/>
    <w:rsid w:val="00846C6A"/>
    <w:rsid w:val="00847ADC"/>
    <w:rsid w:val="0085044A"/>
    <w:rsid w:val="008504B9"/>
    <w:rsid w:val="0085056D"/>
    <w:rsid w:val="008513F9"/>
    <w:rsid w:val="00852073"/>
    <w:rsid w:val="00854D8B"/>
    <w:rsid w:val="008558DE"/>
    <w:rsid w:val="00856B72"/>
    <w:rsid w:val="00856F04"/>
    <w:rsid w:val="008573D6"/>
    <w:rsid w:val="00857793"/>
    <w:rsid w:val="00860E48"/>
    <w:rsid w:val="00862BD7"/>
    <w:rsid w:val="00862ED7"/>
    <w:rsid w:val="00864648"/>
    <w:rsid w:val="00864770"/>
    <w:rsid w:val="0086515C"/>
    <w:rsid w:val="0086571D"/>
    <w:rsid w:val="00866558"/>
    <w:rsid w:val="00866921"/>
    <w:rsid w:val="00867575"/>
    <w:rsid w:val="008675BB"/>
    <w:rsid w:val="00867823"/>
    <w:rsid w:val="008708F3"/>
    <w:rsid w:val="00870E48"/>
    <w:rsid w:val="00870E8F"/>
    <w:rsid w:val="00871AFF"/>
    <w:rsid w:val="00872146"/>
    <w:rsid w:val="008727CC"/>
    <w:rsid w:val="008766B7"/>
    <w:rsid w:val="00876C92"/>
    <w:rsid w:val="0087791F"/>
    <w:rsid w:val="00880519"/>
    <w:rsid w:val="00880A19"/>
    <w:rsid w:val="00882AC0"/>
    <w:rsid w:val="00883570"/>
    <w:rsid w:val="00883E9A"/>
    <w:rsid w:val="00885683"/>
    <w:rsid w:val="00885BBE"/>
    <w:rsid w:val="0088686C"/>
    <w:rsid w:val="008909D2"/>
    <w:rsid w:val="0089144C"/>
    <w:rsid w:val="00892BE1"/>
    <w:rsid w:val="008931C9"/>
    <w:rsid w:val="00894D6A"/>
    <w:rsid w:val="0089558A"/>
    <w:rsid w:val="00895C10"/>
    <w:rsid w:val="00897EF1"/>
    <w:rsid w:val="008A1822"/>
    <w:rsid w:val="008A2206"/>
    <w:rsid w:val="008A2387"/>
    <w:rsid w:val="008A29BB"/>
    <w:rsid w:val="008A2DF9"/>
    <w:rsid w:val="008A534D"/>
    <w:rsid w:val="008A635B"/>
    <w:rsid w:val="008A68F3"/>
    <w:rsid w:val="008A6FF6"/>
    <w:rsid w:val="008B069B"/>
    <w:rsid w:val="008B0A58"/>
    <w:rsid w:val="008B0ACE"/>
    <w:rsid w:val="008B1AE5"/>
    <w:rsid w:val="008B261F"/>
    <w:rsid w:val="008B321E"/>
    <w:rsid w:val="008B3A4B"/>
    <w:rsid w:val="008B75EB"/>
    <w:rsid w:val="008B7E1E"/>
    <w:rsid w:val="008B7F6A"/>
    <w:rsid w:val="008C1DA2"/>
    <w:rsid w:val="008C1E0E"/>
    <w:rsid w:val="008C2C44"/>
    <w:rsid w:val="008C2DC9"/>
    <w:rsid w:val="008C44E6"/>
    <w:rsid w:val="008C5295"/>
    <w:rsid w:val="008C5676"/>
    <w:rsid w:val="008C570F"/>
    <w:rsid w:val="008C5744"/>
    <w:rsid w:val="008C5ACB"/>
    <w:rsid w:val="008C6E0D"/>
    <w:rsid w:val="008C7B11"/>
    <w:rsid w:val="008D12B7"/>
    <w:rsid w:val="008D1BC4"/>
    <w:rsid w:val="008D2B41"/>
    <w:rsid w:val="008D305B"/>
    <w:rsid w:val="008D34EB"/>
    <w:rsid w:val="008D426A"/>
    <w:rsid w:val="008D5828"/>
    <w:rsid w:val="008D5F24"/>
    <w:rsid w:val="008D6F13"/>
    <w:rsid w:val="008D72BF"/>
    <w:rsid w:val="008D7801"/>
    <w:rsid w:val="008D790C"/>
    <w:rsid w:val="008D7CDF"/>
    <w:rsid w:val="008D7E4C"/>
    <w:rsid w:val="008E0278"/>
    <w:rsid w:val="008E0745"/>
    <w:rsid w:val="008E1C49"/>
    <w:rsid w:val="008E2C58"/>
    <w:rsid w:val="008E3675"/>
    <w:rsid w:val="008E3B6B"/>
    <w:rsid w:val="008E458D"/>
    <w:rsid w:val="008E50B3"/>
    <w:rsid w:val="008E563B"/>
    <w:rsid w:val="008E74D1"/>
    <w:rsid w:val="008F03BE"/>
    <w:rsid w:val="008F0FA5"/>
    <w:rsid w:val="008F2FA1"/>
    <w:rsid w:val="008F33A2"/>
    <w:rsid w:val="008F522B"/>
    <w:rsid w:val="008F646F"/>
    <w:rsid w:val="008F665E"/>
    <w:rsid w:val="008F68DF"/>
    <w:rsid w:val="008F7E07"/>
    <w:rsid w:val="009001E1"/>
    <w:rsid w:val="009002B6"/>
    <w:rsid w:val="00900BA3"/>
    <w:rsid w:val="00901399"/>
    <w:rsid w:val="00901D77"/>
    <w:rsid w:val="00902752"/>
    <w:rsid w:val="00902760"/>
    <w:rsid w:val="0090289E"/>
    <w:rsid w:val="00902AA4"/>
    <w:rsid w:val="00904B83"/>
    <w:rsid w:val="00910C05"/>
    <w:rsid w:val="00911EEA"/>
    <w:rsid w:val="0091281B"/>
    <w:rsid w:val="00912B45"/>
    <w:rsid w:val="00913379"/>
    <w:rsid w:val="00913E32"/>
    <w:rsid w:val="009147FC"/>
    <w:rsid w:val="009163CA"/>
    <w:rsid w:val="00917B4F"/>
    <w:rsid w:val="00920065"/>
    <w:rsid w:val="0092009C"/>
    <w:rsid w:val="0092029E"/>
    <w:rsid w:val="00920C7F"/>
    <w:rsid w:val="00921995"/>
    <w:rsid w:val="009221CC"/>
    <w:rsid w:val="00922C22"/>
    <w:rsid w:val="00922DE1"/>
    <w:rsid w:val="009235A1"/>
    <w:rsid w:val="009248E6"/>
    <w:rsid w:val="0092615F"/>
    <w:rsid w:val="00926599"/>
    <w:rsid w:val="00927183"/>
    <w:rsid w:val="009276EC"/>
    <w:rsid w:val="009318CB"/>
    <w:rsid w:val="00932822"/>
    <w:rsid w:val="0093359F"/>
    <w:rsid w:val="0093370D"/>
    <w:rsid w:val="009337A1"/>
    <w:rsid w:val="00934E5F"/>
    <w:rsid w:val="009352F6"/>
    <w:rsid w:val="00935881"/>
    <w:rsid w:val="00935CAF"/>
    <w:rsid w:val="0093705D"/>
    <w:rsid w:val="00937213"/>
    <w:rsid w:val="009377B6"/>
    <w:rsid w:val="00937B2F"/>
    <w:rsid w:val="00937FFA"/>
    <w:rsid w:val="00940499"/>
    <w:rsid w:val="00941043"/>
    <w:rsid w:val="009446EF"/>
    <w:rsid w:val="009458B7"/>
    <w:rsid w:val="0094641D"/>
    <w:rsid w:val="009500AA"/>
    <w:rsid w:val="00950133"/>
    <w:rsid w:val="00952D79"/>
    <w:rsid w:val="00953372"/>
    <w:rsid w:val="00953C69"/>
    <w:rsid w:val="00955308"/>
    <w:rsid w:val="00955432"/>
    <w:rsid w:val="00955890"/>
    <w:rsid w:val="00957953"/>
    <w:rsid w:val="0096099A"/>
    <w:rsid w:val="00960B78"/>
    <w:rsid w:val="00961BC8"/>
    <w:rsid w:val="009622B2"/>
    <w:rsid w:val="00964D5E"/>
    <w:rsid w:val="00965453"/>
    <w:rsid w:val="00965731"/>
    <w:rsid w:val="009662B5"/>
    <w:rsid w:val="00967336"/>
    <w:rsid w:val="0097003D"/>
    <w:rsid w:val="00971DBB"/>
    <w:rsid w:val="00975148"/>
    <w:rsid w:val="00976D8F"/>
    <w:rsid w:val="009774EF"/>
    <w:rsid w:val="00981335"/>
    <w:rsid w:val="00981D6B"/>
    <w:rsid w:val="00981D78"/>
    <w:rsid w:val="00981FAC"/>
    <w:rsid w:val="00982503"/>
    <w:rsid w:val="009831C0"/>
    <w:rsid w:val="00984F36"/>
    <w:rsid w:val="00985563"/>
    <w:rsid w:val="009861B3"/>
    <w:rsid w:val="0098752A"/>
    <w:rsid w:val="00990144"/>
    <w:rsid w:val="009910FD"/>
    <w:rsid w:val="009914FB"/>
    <w:rsid w:val="00991A89"/>
    <w:rsid w:val="00991C19"/>
    <w:rsid w:val="00992149"/>
    <w:rsid w:val="00993888"/>
    <w:rsid w:val="00993D48"/>
    <w:rsid w:val="00995855"/>
    <w:rsid w:val="00996276"/>
    <w:rsid w:val="0099661B"/>
    <w:rsid w:val="00996883"/>
    <w:rsid w:val="009971D9"/>
    <w:rsid w:val="00997753"/>
    <w:rsid w:val="009A02D4"/>
    <w:rsid w:val="009A1908"/>
    <w:rsid w:val="009A1E31"/>
    <w:rsid w:val="009A1F57"/>
    <w:rsid w:val="009A1FE7"/>
    <w:rsid w:val="009A3010"/>
    <w:rsid w:val="009A415C"/>
    <w:rsid w:val="009A54EC"/>
    <w:rsid w:val="009A6559"/>
    <w:rsid w:val="009A65DA"/>
    <w:rsid w:val="009A7007"/>
    <w:rsid w:val="009B2963"/>
    <w:rsid w:val="009B39B2"/>
    <w:rsid w:val="009B3A89"/>
    <w:rsid w:val="009B3D5E"/>
    <w:rsid w:val="009B4B2E"/>
    <w:rsid w:val="009B5834"/>
    <w:rsid w:val="009B69B8"/>
    <w:rsid w:val="009B6ABA"/>
    <w:rsid w:val="009B7867"/>
    <w:rsid w:val="009C008A"/>
    <w:rsid w:val="009C4483"/>
    <w:rsid w:val="009C4793"/>
    <w:rsid w:val="009C4B03"/>
    <w:rsid w:val="009C7B1A"/>
    <w:rsid w:val="009C7C4A"/>
    <w:rsid w:val="009C7CC6"/>
    <w:rsid w:val="009D062D"/>
    <w:rsid w:val="009D083C"/>
    <w:rsid w:val="009D0BE5"/>
    <w:rsid w:val="009D0FDA"/>
    <w:rsid w:val="009D26BB"/>
    <w:rsid w:val="009D29F2"/>
    <w:rsid w:val="009D3B7E"/>
    <w:rsid w:val="009D58AF"/>
    <w:rsid w:val="009D62E7"/>
    <w:rsid w:val="009D66D9"/>
    <w:rsid w:val="009D6D54"/>
    <w:rsid w:val="009E019B"/>
    <w:rsid w:val="009E07E1"/>
    <w:rsid w:val="009E0EC6"/>
    <w:rsid w:val="009E2AEA"/>
    <w:rsid w:val="009E3AB4"/>
    <w:rsid w:val="009E4BB2"/>
    <w:rsid w:val="009E5959"/>
    <w:rsid w:val="009E5EF5"/>
    <w:rsid w:val="009E7959"/>
    <w:rsid w:val="009F0315"/>
    <w:rsid w:val="009F03C2"/>
    <w:rsid w:val="009F4DEA"/>
    <w:rsid w:val="009F5FC4"/>
    <w:rsid w:val="009F6DBB"/>
    <w:rsid w:val="00A02B69"/>
    <w:rsid w:val="00A02F29"/>
    <w:rsid w:val="00A03B73"/>
    <w:rsid w:val="00A05367"/>
    <w:rsid w:val="00A05FDC"/>
    <w:rsid w:val="00A11C44"/>
    <w:rsid w:val="00A11D84"/>
    <w:rsid w:val="00A135BD"/>
    <w:rsid w:val="00A14B8F"/>
    <w:rsid w:val="00A1521E"/>
    <w:rsid w:val="00A176AE"/>
    <w:rsid w:val="00A2336A"/>
    <w:rsid w:val="00A235CE"/>
    <w:rsid w:val="00A23916"/>
    <w:rsid w:val="00A23D5B"/>
    <w:rsid w:val="00A26454"/>
    <w:rsid w:val="00A31487"/>
    <w:rsid w:val="00A31742"/>
    <w:rsid w:val="00A31A4A"/>
    <w:rsid w:val="00A3224A"/>
    <w:rsid w:val="00A32592"/>
    <w:rsid w:val="00A331E3"/>
    <w:rsid w:val="00A34A4F"/>
    <w:rsid w:val="00A355B8"/>
    <w:rsid w:val="00A4073D"/>
    <w:rsid w:val="00A407BD"/>
    <w:rsid w:val="00A41085"/>
    <w:rsid w:val="00A41AAA"/>
    <w:rsid w:val="00A423D1"/>
    <w:rsid w:val="00A4366F"/>
    <w:rsid w:val="00A43CEB"/>
    <w:rsid w:val="00A4437F"/>
    <w:rsid w:val="00A506E6"/>
    <w:rsid w:val="00A52BA3"/>
    <w:rsid w:val="00A55150"/>
    <w:rsid w:val="00A554E3"/>
    <w:rsid w:val="00A55894"/>
    <w:rsid w:val="00A57254"/>
    <w:rsid w:val="00A577C7"/>
    <w:rsid w:val="00A60399"/>
    <w:rsid w:val="00A60E36"/>
    <w:rsid w:val="00A61648"/>
    <w:rsid w:val="00A62896"/>
    <w:rsid w:val="00A6383A"/>
    <w:rsid w:val="00A648FF"/>
    <w:rsid w:val="00A65033"/>
    <w:rsid w:val="00A657C4"/>
    <w:rsid w:val="00A658B0"/>
    <w:rsid w:val="00A663AC"/>
    <w:rsid w:val="00A725A2"/>
    <w:rsid w:val="00A7294D"/>
    <w:rsid w:val="00A731A3"/>
    <w:rsid w:val="00A74008"/>
    <w:rsid w:val="00A760BD"/>
    <w:rsid w:val="00A772E2"/>
    <w:rsid w:val="00A80506"/>
    <w:rsid w:val="00A81FB9"/>
    <w:rsid w:val="00A833AF"/>
    <w:rsid w:val="00A84B59"/>
    <w:rsid w:val="00A84D30"/>
    <w:rsid w:val="00A85ECD"/>
    <w:rsid w:val="00A8753C"/>
    <w:rsid w:val="00A87B98"/>
    <w:rsid w:val="00A91766"/>
    <w:rsid w:val="00A93D69"/>
    <w:rsid w:val="00A9611C"/>
    <w:rsid w:val="00A96F62"/>
    <w:rsid w:val="00A974C0"/>
    <w:rsid w:val="00A97587"/>
    <w:rsid w:val="00A977CE"/>
    <w:rsid w:val="00AA00DA"/>
    <w:rsid w:val="00AA0976"/>
    <w:rsid w:val="00AA0D93"/>
    <w:rsid w:val="00AA0D96"/>
    <w:rsid w:val="00AA0F7A"/>
    <w:rsid w:val="00AA14C4"/>
    <w:rsid w:val="00AA33D9"/>
    <w:rsid w:val="00AA3503"/>
    <w:rsid w:val="00AA3DC6"/>
    <w:rsid w:val="00AA4E5F"/>
    <w:rsid w:val="00AA52BB"/>
    <w:rsid w:val="00AA7E59"/>
    <w:rsid w:val="00AA7F8D"/>
    <w:rsid w:val="00AB00C9"/>
    <w:rsid w:val="00AB0A24"/>
    <w:rsid w:val="00AB1B3B"/>
    <w:rsid w:val="00AB25BC"/>
    <w:rsid w:val="00AB33C3"/>
    <w:rsid w:val="00AB3A16"/>
    <w:rsid w:val="00AB4806"/>
    <w:rsid w:val="00AB48D3"/>
    <w:rsid w:val="00AB56F9"/>
    <w:rsid w:val="00AC01EA"/>
    <w:rsid w:val="00AC0656"/>
    <w:rsid w:val="00AC6C11"/>
    <w:rsid w:val="00AC7E39"/>
    <w:rsid w:val="00AD003D"/>
    <w:rsid w:val="00AD24A1"/>
    <w:rsid w:val="00AD28B7"/>
    <w:rsid w:val="00AD2A64"/>
    <w:rsid w:val="00AD2E5D"/>
    <w:rsid w:val="00AD5352"/>
    <w:rsid w:val="00AD6284"/>
    <w:rsid w:val="00AD6487"/>
    <w:rsid w:val="00AD7596"/>
    <w:rsid w:val="00AE000F"/>
    <w:rsid w:val="00AE0330"/>
    <w:rsid w:val="00AE1088"/>
    <w:rsid w:val="00AE19E9"/>
    <w:rsid w:val="00AE22D5"/>
    <w:rsid w:val="00AE5941"/>
    <w:rsid w:val="00AE5A95"/>
    <w:rsid w:val="00AE6750"/>
    <w:rsid w:val="00AF0DC7"/>
    <w:rsid w:val="00AF0F82"/>
    <w:rsid w:val="00AF0FEC"/>
    <w:rsid w:val="00AF0FFA"/>
    <w:rsid w:val="00AF1EE2"/>
    <w:rsid w:val="00AF33E3"/>
    <w:rsid w:val="00AF3D83"/>
    <w:rsid w:val="00AF3FD0"/>
    <w:rsid w:val="00AF432A"/>
    <w:rsid w:val="00AF4B7C"/>
    <w:rsid w:val="00AF52ED"/>
    <w:rsid w:val="00AF6443"/>
    <w:rsid w:val="00AF713A"/>
    <w:rsid w:val="00AF7A86"/>
    <w:rsid w:val="00B00663"/>
    <w:rsid w:val="00B0068E"/>
    <w:rsid w:val="00B01997"/>
    <w:rsid w:val="00B01C0D"/>
    <w:rsid w:val="00B02C2A"/>
    <w:rsid w:val="00B02D86"/>
    <w:rsid w:val="00B03362"/>
    <w:rsid w:val="00B03717"/>
    <w:rsid w:val="00B0422E"/>
    <w:rsid w:val="00B04B39"/>
    <w:rsid w:val="00B05C71"/>
    <w:rsid w:val="00B07BAF"/>
    <w:rsid w:val="00B11819"/>
    <w:rsid w:val="00B1183F"/>
    <w:rsid w:val="00B1201C"/>
    <w:rsid w:val="00B13AE4"/>
    <w:rsid w:val="00B1735B"/>
    <w:rsid w:val="00B201B1"/>
    <w:rsid w:val="00B2115E"/>
    <w:rsid w:val="00B21D2B"/>
    <w:rsid w:val="00B22871"/>
    <w:rsid w:val="00B23E33"/>
    <w:rsid w:val="00B24C6E"/>
    <w:rsid w:val="00B24E1B"/>
    <w:rsid w:val="00B25C67"/>
    <w:rsid w:val="00B277BC"/>
    <w:rsid w:val="00B27DF2"/>
    <w:rsid w:val="00B30C10"/>
    <w:rsid w:val="00B3318E"/>
    <w:rsid w:val="00B33452"/>
    <w:rsid w:val="00B34F20"/>
    <w:rsid w:val="00B35B23"/>
    <w:rsid w:val="00B36DB1"/>
    <w:rsid w:val="00B40269"/>
    <w:rsid w:val="00B40665"/>
    <w:rsid w:val="00B412D6"/>
    <w:rsid w:val="00B41357"/>
    <w:rsid w:val="00B42093"/>
    <w:rsid w:val="00B42425"/>
    <w:rsid w:val="00B45213"/>
    <w:rsid w:val="00B45913"/>
    <w:rsid w:val="00B45F5E"/>
    <w:rsid w:val="00B45FE9"/>
    <w:rsid w:val="00B47574"/>
    <w:rsid w:val="00B52651"/>
    <w:rsid w:val="00B52B5A"/>
    <w:rsid w:val="00B54F11"/>
    <w:rsid w:val="00B55584"/>
    <w:rsid w:val="00B56A27"/>
    <w:rsid w:val="00B56FAB"/>
    <w:rsid w:val="00B5718D"/>
    <w:rsid w:val="00B57212"/>
    <w:rsid w:val="00B5782D"/>
    <w:rsid w:val="00B61424"/>
    <w:rsid w:val="00B61A0A"/>
    <w:rsid w:val="00B61FC5"/>
    <w:rsid w:val="00B62CF5"/>
    <w:rsid w:val="00B62F9B"/>
    <w:rsid w:val="00B64574"/>
    <w:rsid w:val="00B650C4"/>
    <w:rsid w:val="00B6642A"/>
    <w:rsid w:val="00B664EC"/>
    <w:rsid w:val="00B66D56"/>
    <w:rsid w:val="00B67C3D"/>
    <w:rsid w:val="00B7051A"/>
    <w:rsid w:val="00B7192E"/>
    <w:rsid w:val="00B738ED"/>
    <w:rsid w:val="00B73E92"/>
    <w:rsid w:val="00B7414F"/>
    <w:rsid w:val="00B743AF"/>
    <w:rsid w:val="00B74640"/>
    <w:rsid w:val="00B748FB"/>
    <w:rsid w:val="00B77501"/>
    <w:rsid w:val="00B809BA"/>
    <w:rsid w:val="00B820A4"/>
    <w:rsid w:val="00B8306C"/>
    <w:rsid w:val="00B83322"/>
    <w:rsid w:val="00B834D0"/>
    <w:rsid w:val="00B83A33"/>
    <w:rsid w:val="00B84547"/>
    <w:rsid w:val="00B86B26"/>
    <w:rsid w:val="00B8715E"/>
    <w:rsid w:val="00B8717C"/>
    <w:rsid w:val="00B903AC"/>
    <w:rsid w:val="00B904CD"/>
    <w:rsid w:val="00B9316B"/>
    <w:rsid w:val="00B93658"/>
    <w:rsid w:val="00B93A6B"/>
    <w:rsid w:val="00B94505"/>
    <w:rsid w:val="00B95C5B"/>
    <w:rsid w:val="00B96998"/>
    <w:rsid w:val="00B97DC7"/>
    <w:rsid w:val="00BA11D6"/>
    <w:rsid w:val="00BA186E"/>
    <w:rsid w:val="00BA1B17"/>
    <w:rsid w:val="00BA2CED"/>
    <w:rsid w:val="00BA3CC1"/>
    <w:rsid w:val="00BA41A4"/>
    <w:rsid w:val="00BA41D6"/>
    <w:rsid w:val="00BA558D"/>
    <w:rsid w:val="00BA57B9"/>
    <w:rsid w:val="00BA7224"/>
    <w:rsid w:val="00BA725D"/>
    <w:rsid w:val="00BA793E"/>
    <w:rsid w:val="00BA7D34"/>
    <w:rsid w:val="00BB0A42"/>
    <w:rsid w:val="00BB0E16"/>
    <w:rsid w:val="00BB196A"/>
    <w:rsid w:val="00BB1AF0"/>
    <w:rsid w:val="00BB389A"/>
    <w:rsid w:val="00BB464B"/>
    <w:rsid w:val="00BB5BE2"/>
    <w:rsid w:val="00BB7847"/>
    <w:rsid w:val="00BC0CA4"/>
    <w:rsid w:val="00BC18C6"/>
    <w:rsid w:val="00BC209F"/>
    <w:rsid w:val="00BC4F21"/>
    <w:rsid w:val="00BC55B7"/>
    <w:rsid w:val="00BC5EE9"/>
    <w:rsid w:val="00BC6A50"/>
    <w:rsid w:val="00BD2722"/>
    <w:rsid w:val="00BD38D6"/>
    <w:rsid w:val="00BD4BEA"/>
    <w:rsid w:val="00BD527C"/>
    <w:rsid w:val="00BD566D"/>
    <w:rsid w:val="00BD6091"/>
    <w:rsid w:val="00BD61B7"/>
    <w:rsid w:val="00BD63E8"/>
    <w:rsid w:val="00BD6D6C"/>
    <w:rsid w:val="00BD78DA"/>
    <w:rsid w:val="00BE096B"/>
    <w:rsid w:val="00BE0CF7"/>
    <w:rsid w:val="00BE13A0"/>
    <w:rsid w:val="00BE2081"/>
    <w:rsid w:val="00BE3BAC"/>
    <w:rsid w:val="00BE45E2"/>
    <w:rsid w:val="00BE4736"/>
    <w:rsid w:val="00BE4E52"/>
    <w:rsid w:val="00BE50B4"/>
    <w:rsid w:val="00BE53B0"/>
    <w:rsid w:val="00BE5631"/>
    <w:rsid w:val="00BE714D"/>
    <w:rsid w:val="00BE7570"/>
    <w:rsid w:val="00BE79FE"/>
    <w:rsid w:val="00BF0865"/>
    <w:rsid w:val="00BF0EB4"/>
    <w:rsid w:val="00BF0FA2"/>
    <w:rsid w:val="00BF15FE"/>
    <w:rsid w:val="00BF2381"/>
    <w:rsid w:val="00BF32F4"/>
    <w:rsid w:val="00BF3399"/>
    <w:rsid w:val="00BF353B"/>
    <w:rsid w:val="00BF4A54"/>
    <w:rsid w:val="00BF4B9F"/>
    <w:rsid w:val="00BF5F5F"/>
    <w:rsid w:val="00BF65B2"/>
    <w:rsid w:val="00BF6B06"/>
    <w:rsid w:val="00C03541"/>
    <w:rsid w:val="00C03EB5"/>
    <w:rsid w:val="00C0460B"/>
    <w:rsid w:val="00C05712"/>
    <w:rsid w:val="00C05B4A"/>
    <w:rsid w:val="00C06727"/>
    <w:rsid w:val="00C07E64"/>
    <w:rsid w:val="00C11C49"/>
    <w:rsid w:val="00C128E5"/>
    <w:rsid w:val="00C15060"/>
    <w:rsid w:val="00C204B7"/>
    <w:rsid w:val="00C20625"/>
    <w:rsid w:val="00C20F5D"/>
    <w:rsid w:val="00C21497"/>
    <w:rsid w:val="00C21F7B"/>
    <w:rsid w:val="00C2441B"/>
    <w:rsid w:val="00C244FA"/>
    <w:rsid w:val="00C24629"/>
    <w:rsid w:val="00C24EBA"/>
    <w:rsid w:val="00C254FC"/>
    <w:rsid w:val="00C2605C"/>
    <w:rsid w:val="00C26440"/>
    <w:rsid w:val="00C26B14"/>
    <w:rsid w:val="00C27A15"/>
    <w:rsid w:val="00C30929"/>
    <w:rsid w:val="00C30BCE"/>
    <w:rsid w:val="00C31131"/>
    <w:rsid w:val="00C3120D"/>
    <w:rsid w:val="00C31B0A"/>
    <w:rsid w:val="00C31E42"/>
    <w:rsid w:val="00C322FE"/>
    <w:rsid w:val="00C330ED"/>
    <w:rsid w:val="00C339DF"/>
    <w:rsid w:val="00C350BA"/>
    <w:rsid w:val="00C36E25"/>
    <w:rsid w:val="00C37179"/>
    <w:rsid w:val="00C371B1"/>
    <w:rsid w:val="00C37539"/>
    <w:rsid w:val="00C37B55"/>
    <w:rsid w:val="00C40C4A"/>
    <w:rsid w:val="00C40F11"/>
    <w:rsid w:val="00C41BC0"/>
    <w:rsid w:val="00C42B2E"/>
    <w:rsid w:val="00C47279"/>
    <w:rsid w:val="00C47E79"/>
    <w:rsid w:val="00C5050D"/>
    <w:rsid w:val="00C51501"/>
    <w:rsid w:val="00C51C37"/>
    <w:rsid w:val="00C523DC"/>
    <w:rsid w:val="00C5293D"/>
    <w:rsid w:val="00C5344E"/>
    <w:rsid w:val="00C55298"/>
    <w:rsid w:val="00C56A5F"/>
    <w:rsid w:val="00C5753C"/>
    <w:rsid w:val="00C579A2"/>
    <w:rsid w:val="00C57D65"/>
    <w:rsid w:val="00C60BC0"/>
    <w:rsid w:val="00C62598"/>
    <w:rsid w:val="00C635EC"/>
    <w:rsid w:val="00C64A1B"/>
    <w:rsid w:val="00C6522B"/>
    <w:rsid w:val="00C65353"/>
    <w:rsid w:val="00C664A2"/>
    <w:rsid w:val="00C6679D"/>
    <w:rsid w:val="00C6682A"/>
    <w:rsid w:val="00C66FBD"/>
    <w:rsid w:val="00C673EB"/>
    <w:rsid w:val="00C704E1"/>
    <w:rsid w:val="00C72801"/>
    <w:rsid w:val="00C744C5"/>
    <w:rsid w:val="00C75BD6"/>
    <w:rsid w:val="00C75F62"/>
    <w:rsid w:val="00C76C09"/>
    <w:rsid w:val="00C76F3F"/>
    <w:rsid w:val="00C77007"/>
    <w:rsid w:val="00C7755D"/>
    <w:rsid w:val="00C77F38"/>
    <w:rsid w:val="00C82EE7"/>
    <w:rsid w:val="00C8426F"/>
    <w:rsid w:val="00C849DE"/>
    <w:rsid w:val="00C84DBC"/>
    <w:rsid w:val="00C8701B"/>
    <w:rsid w:val="00C87A47"/>
    <w:rsid w:val="00C87BA3"/>
    <w:rsid w:val="00C87DF8"/>
    <w:rsid w:val="00C9027B"/>
    <w:rsid w:val="00C90A48"/>
    <w:rsid w:val="00C935E1"/>
    <w:rsid w:val="00C94779"/>
    <w:rsid w:val="00C94B99"/>
    <w:rsid w:val="00C94E79"/>
    <w:rsid w:val="00C95910"/>
    <w:rsid w:val="00C966F7"/>
    <w:rsid w:val="00CA1624"/>
    <w:rsid w:val="00CA26E8"/>
    <w:rsid w:val="00CA2F66"/>
    <w:rsid w:val="00CA325A"/>
    <w:rsid w:val="00CA3672"/>
    <w:rsid w:val="00CA3C1E"/>
    <w:rsid w:val="00CA450B"/>
    <w:rsid w:val="00CA469E"/>
    <w:rsid w:val="00CA663E"/>
    <w:rsid w:val="00CA6893"/>
    <w:rsid w:val="00CB039B"/>
    <w:rsid w:val="00CB2624"/>
    <w:rsid w:val="00CB2C11"/>
    <w:rsid w:val="00CB3067"/>
    <w:rsid w:val="00CB5397"/>
    <w:rsid w:val="00CB7E35"/>
    <w:rsid w:val="00CC03E0"/>
    <w:rsid w:val="00CC04E8"/>
    <w:rsid w:val="00CC0FCE"/>
    <w:rsid w:val="00CC11F6"/>
    <w:rsid w:val="00CC14DD"/>
    <w:rsid w:val="00CC1F00"/>
    <w:rsid w:val="00CC21A6"/>
    <w:rsid w:val="00CC252A"/>
    <w:rsid w:val="00CC3344"/>
    <w:rsid w:val="00CC3A83"/>
    <w:rsid w:val="00CC4D7F"/>
    <w:rsid w:val="00CC7C85"/>
    <w:rsid w:val="00CD010E"/>
    <w:rsid w:val="00CD2A33"/>
    <w:rsid w:val="00CD4AFD"/>
    <w:rsid w:val="00CD786B"/>
    <w:rsid w:val="00CD7915"/>
    <w:rsid w:val="00CE0073"/>
    <w:rsid w:val="00CE00E2"/>
    <w:rsid w:val="00CE1102"/>
    <w:rsid w:val="00CE112F"/>
    <w:rsid w:val="00CE1159"/>
    <w:rsid w:val="00CE223F"/>
    <w:rsid w:val="00CE3543"/>
    <w:rsid w:val="00CE3D95"/>
    <w:rsid w:val="00CE7D3E"/>
    <w:rsid w:val="00CE7F80"/>
    <w:rsid w:val="00CF10DA"/>
    <w:rsid w:val="00CF1165"/>
    <w:rsid w:val="00CF13EC"/>
    <w:rsid w:val="00CF2B75"/>
    <w:rsid w:val="00CF3802"/>
    <w:rsid w:val="00CF3C74"/>
    <w:rsid w:val="00CF6009"/>
    <w:rsid w:val="00D0149D"/>
    <w:rsid w:val="00D016E7"/>
    <w:rsid w:val="00D02405"/>
    <w:rsid w:val="00D03392"/>
    <w:rsid w:val="00D0451C"/>
    <w:rsid w:val="00D055FB"/>
    <w:rsid w:val="00D05805"/>
    <w:rsid w:val="00D06780"/>
    <w:rsid w:val="00D06D92"/>
    <w:rsid w:val="00D070F9"/>
    <w:rsid w:val="00D0739D"/>
    <w:rsid w:val="00D073EA"/>
    <w:rsid w:val="00D11605"/>
    <w:rsid w:val="00D11996"/>
    <w:rsid w:val="00D11B60"/>
    <w:rsid w:val="00D14B3E"/>
    <w:rsid w:val="00D14CCD"/>
    <w:rsid w:val="00D14CD4"/>
    <w:rsid w:val="00D17783"/>
    <w:rsid w:val="00D20449"/>
    <w:rsid w:val="00D20BA6"/>
    <w:rsid w:val="00D2206C"/>
    <w:rsid w:val="00D2270C"/>
    <w:rsid w:val="00D22D28"/>
    <w:rsid w:val="00D239D7"/>
    <w:rsid w:val="00D241C0"/>
    <w:rsid w:val="00D2425E"/>
    <w:rsid w:val="00D245E8"/>
    <w:rsid w:val="00D2644C"/>
    <w:rsid w:val="00D265BF"/>
    <w:rsid w:val="00D31862"/>
    <w:rsid w:val="00D319F4"/>
    <w:rsid w:val="00D31E2F"/>
    <w:rsid w:val="00D323B4"/>
    <w:rsid w:val="00D3421F"/>
    <w:rsid w:val="00D35BFD"/>
    <w:rsid w:val="00D36747"/>
    <w:rsid w:val="00D377B8"/>
    <w:rsid w:val="00D418EE"/>
    <w:rsid w:val="00D41AF7"/>
    <w:rsid w:val="00D43E52"/>
    <w:rsid w:val="00D44599"/>
    <w:rsid w:val="00D4464E"/>
    <w:rsid w:val="00D44792"/>
    <w:rsid w:val="00D44947"/>
    <w:rsid w:val="00D44D31"/>
    <w:rsid w:val="00D4512B"/>
    <w:rsid w:val="00D457DA"/>
    <w:rsid w:val="00D46936"/>
    <w:rsid w:val="00D46D4E"/>
    <w:rsid w:val="00D46FB0"/>
    <w:rsid w:val="00D46FD5"/>
    <w:rsid w:val="00D47ADF"/>
    <w:rsid w:val="00D47DE4"/>
    <w:rsid w:val="00D47E08"/>
    <w:rsid w:val="00D47EE8"/>
    <w:rsid w:val="00D50825"/>
    <w:rsid w:val="00D511FF"/>
    <w:rsid w:val="00D51A86"/>
    <w:rsid w:val="00D52C78"/>
    <w:rsid w:val="00D52E92"/>
    <w:rsid w:val="00D558ED"/>
    <w:rsid w:val="00D560D2"/>
    <w:rsid w:val="00D56C45"/>
    <w:rsid w:val="00D57996"/>
    <w:rsid w:val="00D6070A"/>
    <w:rsid w:val="00D60BA5"/>
    <w:rsid w:val="00D60C63"/>
    <w:rsid w:val="00D61489"/>
    <w:rsid w:val="00D61618"/>
    <w:rsid w:val="00D62072"/>
    <w:rsid w:val="00D6208D"/>
    <w:rsid w:val="00D64EBA"/>
    <w:rsid w:val="00D653E7"/>
    <w:rsid w:val="00D669AC"/>
    <w:rsid w:val="00D670E8"/>
    <w:rsid w:val="00D7040C"/>
    <w:rsid w:val="00D704BD"/>
    <w:rsid w:val="00D70DDA"/>
    <w:rsid w:val="00D71C3B"/>
    <w:rsid w:val="00D72BCE"/>
    <w:rsid w:val="00D72E4F"/>
    <w:rsid w:val="00D7633A"/>
    <w:rsid w:val="00D777B1"/>
    <w:rsid w:val="00D777DA"/>
    <w:rsid w:val="00D7781D"/>
    <w:rsid w:val="00D77E48"/>
    <w:rsid w:val="00D8369A"/>
    <w:rsid w:val="00D84600"/>
    <w:rsid w:val="00D84BDB"/>
    <w:rsid w:val="00D8671B"/>
    <w:rsid w:val="00D90398"/>
    <w:rsid w:val="00D929AD"/>
    <w:rsid w:val="00D93050"/>
    <w:rsid w:val="00D93069"/>
    <w:rsid w:val="00D939D7"/>
    <w:rsid w:val="00D95071"/>
    <w:rsid w:val="00D9522C"/>
    <w:rsid w:val="00D957AF"/>
    <w:rsid w:val="00D96096"/>
    <w:rsid w:val="00D96325"/>
    <w:rsid w:val="00D969C0"/>
    <w:rsid w:val="00D972A9"/>
    <w:rsid w:val="00D972FF"/>
    <w:rsid w:val="00D9775C"/>
    <w:rsid w:val="00DA0080"/>
    <w:rsid w:val="00DA0E40"/>
    <w:rsid w:val="00DA2114"/>
    <w:rsid w:val="00DA4076"/>
    <w:rsid w:val="00DA4196"/>
    <w:rsid w:val="00DA44D5"/>
    <w:rsid w:val="00DA4F39"/>
    <w:rsid w:val="00DA4FB5"/>
    <w:rsid w:val="00DA565B"/>
    <w:rsid w:val="00DA633B"/>
    <w:rsid w:val="00DA6858"/>
    <w:rsid w:val="00DA75E8"/>
    <w:rsid w:val="00DB0382"/>
    <w:rsid w:val="00DB0499"/>
    <w:rsid w:val="00DB1E9B"/>
    <w:rsid w:val="00DB2947"/>
    <w:rsid w:val="00DB3AE6"/>
    <w:rsid w:val="00DB3B86"/>
    <w:rsid w:val="00DB4271"/>
    <w:rsid w:val="00DB4B3B"/>
    <w:rsid w:val="00DB758A"/>
    <w:rsid w:val="00DB7B17"/>
    <w:rsid w:val="00DC1B4D"/>
    <w:rsid w:val="00DC2E8C"/>
    <w:rsid w:val="00DC3E4D"/>
    <w:rsid w:val="00DC4D54"/>
    <w:rsid w:val="00DC5F6D"/>
    <w:rsid w:val="00DC5FF0"/>
    <w:rsid w:val="00DC6C60"/>
    <w:rsid w:val="00DC7B21"/>
    <w:rsid w:val="00DC7FDA"/>
    <w:rsid w:val="00DD0A66"/>
    <w:rsid w:val="00DD34E1"/>
    <w:rsid w:val="00DD43B2"/>
    <w:rsid w:val="00DD59B1"/>
    <w:rsid w:val="00DD5D09"/>
    <w:rsid w:val="00DD7123"/>
    <w:rsid w:val="00DD73E6"/>
    <w:rsid w:val="00DD7B0D"/>
    <w:rsid w:val="00DE048B"/>
    <w:rsid w:val="00DE18F9"/>
    <w:rsid w:val="00DE1C8A"/>
    <w:rsid w:val="00DE1FE6"/>
    <w:rsid w:val="00DE287A"/>
    <w:rsid w:val="00DE2DC8"/>
    <w:rsid w:val="00DE3A5F"/>
    <w:rsid w:val="00DE46FC"/>
    <w:rsid w:val="00DE5668"/>
    <w:rsid w:val="00DE5943"/>
    <w:rsid w:val="00DE603A"/>
    <w:rsid w:val="00DE6269"/>
    <w:rsid w:val="00DE6559"/>
    <w:rsid w:val="00DE7D20"/>
    <w:rsid w:val="00DF0C60"/>
    <w:rsid w:val="00DF0E4D"/>
    <w:rsid w:val="00DF1856"/>
    <w:rsid w:val="00DF3A99"/>
    <w:rsid w:val="00DF3D12"/>
    <w:rsid w:val="00DF411F"/>
    <w:rsid w:val="00DF4B76"/>
    <w:rsid w:val="00DF4BEF"/>
    <w:rsid w:val="00DF6EB6"/>
    <w:rsid w:val="00DF7055"/>
    <w:rsid w:val="00DF7915"/>
    <w:rsid w:val="00DF7EF7"/>
    <w:rsid w:val="00DF7F6A"/>
    <w:rsid w:val="00E008A5"/>
    <w:rsid w:val="00E00ED2"/>
    <w:rsid w:val="00E01065"/>
    <w:rsid w:val="00E01DCD"/>
    <w:rsid w:val="00E01F32"/>
    <w:rsid w:val="00E0233B"/>
    <w:rsid w:val="00E03681"/>
    <w:rsid w:val="00E03EC6"/>
    <w:rsid w:val="00E04221"/>
    <w:rsid w:val="00E05A6E"/>
    <w:rsid w:val="00E066B7"/>
    <w:rsid w:val="00E069E7"/>
    <w:rsid w:val="00E06BB1"/>
    <w:rsid w:val="00E07142"/>
    <w:rsid w:val="00E1097F"/>
    <w:rsid w:val="00E11996"/>
    <w:rsid w:val="00E11CBB"/>
    <w:rsid w:val="00E11DB9"/>
    <w:rsid w:val="00E12475"/>
    <w:rsid w:val="00E14221"/>
    <w:rsid w:val="00E14A1C"/>
    <w:rsid w:val="00E14BCB"/>
    <w:rsid w:val="00E16053"/>
    <w:rsid w:val="00E16345"/>
    <w:rsid w:val="00E16BA6"/>
    <w:rsid w:val="00E179CC"/>
    <w:rsid w:val="00E17A8C"/>
    <w:rsid w:val="00E20D03"/>
    <w:rsid w:val="00E20DFC"/>
    <w:rsid w:val="00E22BB6"/>
    <w:rsid w:val="00E236E7"/>
    <w:rsid w:val="00E23E47"/>
    <w:rsid w:val="00E2448E"/>
    <w:rsid w:val="00E24BD0"/>
    <w:rsid w:val="00E25874"/>
    <w:rsid w:val="00E270C3"/>
    <w:rsid w:val="00E3014D"/>
    <w:rsid w:val="00E303FB"/>
    <w:rsid w:val="00E30CAE"/>
    <w:rsid w:val="00E31E74"/>
    <w:rsid w:val="00E3261E"/>
    <w:rsid w:val="00E34AF4"/>
    <w:rsid w:val="00E34CF3"/>
    <w:rsid w:val="00E34DEA"/>
    <w:rsid w:val="00E35CC2"/>
    <w:rsid w:val="00E367CC"/>
    <w:rsid w:val="00E37063"/>
    <w:rsid w:val="00E3744E"/>
    <w:rsid w:val="00E40225"/>
    <w:rsid w:val="00E40B9F"/>
    <w:rsid w:val="00E40FD5"/>
    <w:rsid w:val="00E4287E"/>
    <w:rsid w:val="00E42C62"/>
    <w:rsid w:val="00E43410"/>
    <w:rsid w:val="00E43ABB"/>
    <w:rsid w:val="00E43DD1"/>
    <w:rsid w:val="00E43EA8"/>
    <w:rsid w:val="00E4422E"/>
    <w:rsid w:val="00E44DF7"/>
    <w:rsid w:val="00E45855"/>
    <w:rsid w:val="00E46796"/>
    <w:rsid w:val="00E467AE"/>
    <w:rsid w:val="00E469FD"/>
    <w:rsid w:val="00E50034"/>
    <w:rsid w:val="00E5079A"/>
    <w:rsid w:val="00E51425"/>
    <w:rsid w:val="00E522FC"/>
    <w:rsid w:val="00E548A2"/>
    <w:rsid w:val="00E54B44"/>
    <w:rsid w:val="00E567F9"/>
    <w:rsid w:val="00E5781F"/>
    <w:rsid w:val="00E60BF6"/>
    <w:rsid w:val="00E60E81"/>
    <w:rsid w:val="00E61B22"/>
    <w:rsid w:val="00E6245D"/>
    <w:rsid w:val="00E628FB"/>
    <w:rsid w:val="00E632D1"/>
    <w:rsid w:val="00E645CC"/>
    <w:rsid w:val="00E646D3"/>
    <w:rsid w:val="00E647BA"/>
    <w:rsid w:val="00E64C0C"/>
    <w:rsid w:val="00E651CE"/>
    <w:rsid w:val="00E6604B"/>
    <w:rsid w:val="00E6703B"/>
    <w:rsid w:val="00E67F7E"/>
    <w:rsid w:val="00E709C5"/>
    <w:rsid w:val="00E70DC3"/>
    <w:rsid w:val="00E70E2A"/>
    <w:rsid w:val="00E7176F"/>
    <w:rsid w:val="00E71E1E"/>
    <w:rsid w:val="00E72D73"/>
    <w:rsid w:val="00E73993"/>
    <w:rsid w:val="00E745FD"/>
    <w:rsid w:val="00E74751"/>
    <w:rsid w:val="00E75F0F"/>
    <w:rsid w:val="00E808C6"/>
    <w:rsid w:val="00E8410D"/>
    <w:rsid w:val="00E84459"/>
    <w:rsid w:val="00E8501F"/>
    <w:rsid w:val="00E852D9"/>
    <w:rsid w:val="00E85819"/>
    <w:rsid w:val="00E85BA9"/>
    <w:rsid w:val="00E8669A"/>
    <w:rsid w:val="00E87773"/>
    <w:rsid w:val="00E902C9"/>
    <w:rsid w:val="00E91BBF"/>
    <w:rsid w:val="00E92761"/>
    <w:rsid w:val="00E93939"/>
    <w:rsid w:val="00E93E10"/>
    <w:rsid w:val="00E942DE"/>
    <w:rsid w:val="00E970C7"/>
    <w:rsid w:val="00E974B8"/>
    <w:rsid w:val="00EA19FF"/>
    <w:rsid w:val="00EA1C48"/>
    <w:rsid w:val="00EA24B6"/>
    <w:rsid w:val="00EA32B9"/>
    <w:rsid w:val="00EA3CA8"/>
    <w:rsid w:val="00EA4390"/>
    <w:rsid w:val="00EA4580"/>
    <w:rsid w:val="00EA492C"/>
    <w:rsid w:val="00EA4D99"/>
    <w:rsid w:val="00EA536C"/>
    <w:rsid w:val="00EA5F15"/>
    <w:rsid w:val="00EA6481"/>
    <w:rsid w:val="00EA70A1"/>
    <w:rsid w:val="00EB0C1F"/>
    <w:rsid w:val="00EB0C51"/>
    <w:rsid w:val="00EB2C05"/>
    <w:rsid w:val="00EB408C"/>
    <w:rsid w:val="00EB49DD"/>
    <w:rsid w:val="00EB4F64"/>
    <w:rsid w:val="00EB6512"/>
    <w:rsid w:val="00EB6653"/>
    <w:rsid w:val="00EB7495"/>
    <w:rsid w:val="00EB77EE"/>
    <w:rsid w:val="00EB7825"/>
    <w:rsid w:val="00EB7BB0"/>
    <w:rsid w:val="00EC0DC0"/>
    <w:rsid w:val="00EC2206"/>
    <w:rsid w:val="00EC4908"/>
    <w:rsid w:val="00ED0D63"/>
    <w:rsid w:val="00ED20C2"/>
    <w:rsid w:val="00ED28EE"/>
    <w:rsid w:val="00ED2D71"/>
    <w:rsid w:val="00ED3447"/>
    <w:rsid w:val="00ED38FC"/>
    <w:rsid w:val="00ED3C58"/>
    <w:rsid w:val="00ED5460"/>
    <w:rsid w:val="00ED59DE"/>
    <w:rsid w:val="00ED62EE"/>
    <w:rsid w:val="00ED6886"/>
    <w:rsid w:val="00ED6A44"/>
    <w:rsid w:val="00ED7463"/>
    <w:rsid w:val="00ED7857"/>
    <w:rsid w:val="00EE020B"/>
    <w:rsid w:val="00EE274F"/>
    <w:rsid w:val="00EE2964"/>
    <w:rsid w:val="00EE3751"/>
    <w:rsid w:val="00EE43BC"/>
    <w:rsid w:val="00EE43C1"/>
    <w:rsid w:val="00EE44F3"/>
    <w:rsid w:val="00EE52C1"/>
    <w:rsid w:val="00EE5D27"/>
    <w:rsid w:val="00EE642C"/>
    <w:rsid w:val="00EF0657"/>
    <w:rsid w:val="00EF0844"/>
    <w:rsid w:val="00EF0B71"/>
    <w:rsid w:val="00EF2A67"/>
    <w:rsid w:val="00EF2CB9"/>
    <w:rsid w:val="00EF4404"/>
    <w:rsid w:val="00EF4DBD"/>
    <w:rsid w:val="00EF4E8A"/>
    <w:rsid w:val="00EF54B2"/>
    <w:rsid w:val="00EF597B"/>
    <w:rsid w:val="00EF6D97"/>
    <w:rsid w:val="00F001B8"/>
    <w:rsid w:val="00F00388"/>
    <w:rsid w:val="00F0082F"/>
    <w:rsid w:val="00F009A6"/>
    <w:rsid w:val="00F00DFE"/>
    <w:rsid w:val="00F0111A"/>
    <w:rsid w:val="00F02574"/>
    <w:rsid w:val="00F031AF"/>
    <w:rsid w:val="00F034B9"/>
    <w:rsid w:val="00F03A24"/>
    <w:rsid w:val="00F03BBA"/>
    <w:rsid w:val="00F048FF"/>
    <w:rsid w:val="00F04A5F"/>
    <w:rsid w:val="00F04B6B"/>
    <w:rsid w:val="00F05EA5"/>
    <w:rsid w:val="00F10E34"/>
    <w:rsid w:val="00F11168"/>
    <w:rsid w:val="00F1132C"/>
    <w:rsid w:val="00F11DE3"/>
    <w:rsid w:val="00F12806"/>
    <w:rsid w:val="00F12B6B"/>
    <w:rsid w:val="00F13512"/>
    <w:rsid w:val="00F13B0D"/>
    <w:rsid w:val="00F15F6C"/>
    <w:rsid w:val="00F160EA"/>
    <w:rsid w:val="00F1648B"/>
    <w:rsid w:val="00F16E82"/>
    <w:rsid w:val="00F17833"/>
    <w:rsid w:val="00F20A06"/>
    <w:rsid w:val="00F21A9A"/>
    <w:rsid w:val="00F22E44"/>
    <w:rsid w:val="00F250BB"/>
    <w:rsid w:val="00F253DC"/>
    <w:rsid w:val="00F25CC5"/>
    <w:rsid w:val="00F2705C"/>
    <w:rsid w:val="00F30491"/>
    <w:rsid w:val="00F306BE"/>
    <w:rsid w:val="00F30E63"/>
    <w:rsid w:val="00F3186C"/>
    <w:rsid w:val="00F3353A"/>
    <w:rsid w:val="00F336EB"/>
    <w:rsid w:val="00F34256"/>
    <w:rsid w:val="00F34659"/>
    <w:rsid w:val="00F34E69"/>
    <w:rsid w:val="00F35204"/>
    <w:rsid w:val="00F35756"/>
    <w:rsid w:val="00F36052"/>
    <w:rsid w:val="00F3676A"/>
    <w:rsid w:val="00F37398"/>
    <w:rsid w:val="00F3778C"/>
    <w:rsid w:val="00F4073A"/>
    <w:rsid w:val="00F40F6A"/>
    <w:rsid w:val="00F41110"/>
    <w:rsid w:val="00F412FB"/>
    <w:rsid w:val="00F4193A"/>
    <w:rsid w:val="00F41E39"/>
    <w:rsid w:val="00F4436B"/>
    <w:rsid w:val="00F465DE"/>
    <w:rsid w:val="00F515A6"/>
    <w:rsid w:val="00F51C8D"/>
    <w:rsid w:val="00F56FDB"/>
    <w:rsid w:val="00F5780F"/>
    <w:rsid w:val="00F57982"/>
    <w:rsid w:val="00F60898"/>
    <w:rsid w:val="00F609B4"/>
    <w:rsid w:val="00F609C1"/>
    <w:rsid w:val="00F60CF9"/>
    <w:rsid w:val="00F60D80"/>
    <w:rsid w:val="00F613E4"/>
    <w:rsid w:val="00F615CE"/>
    <w:rsid w:val="00F628BF"/>
    <w:rsid w:val="00F63628"/>
    <w:rsid w:val="00F6558B"/>
    <w:rsid w:val="00F6568E"/>
    <w:rsid w:val="00F65E98"/>
    <w:rsid w:val="00F66414"/>
    <w:rsid w:val="00F666B8"/>
    <w:rsid w:val="00F66778"/>
    <w:rsid w:val="00F669F2"/>
    <w:rsid w:val="00F67341"/>
    <w:rsid w:val="00F71A58"/>
    <w:rsid w:val="00F720F9"/>
    <w:rsid w:val="00F72A98"/>
    <w:rsid w:val="00F73F1F"/>
    <w:rsid w:val="00F74540"/>
    <w:rsid w:val="00F7781E"/>
    <w:rsid w:val="00F807AC"/>
    <w:rsid w:val="00F80AF4"/>
    <w:rsid w:val="00F80F77"/>
    <w:rsid w:val="00F818A6"/>
    <w:rsid w:val="00F83B26"/>
    <w:rsid w:val="00F83B9A"/>
    <w:rsid w:val="00F844F6"/>
    <w:rsid w:val="00F84585"/>
    <w:rsid w:val="00F86B35"/>
    <w:rsid w:val="00F87DDE"/>
    <w:rsid w:val="00F87DEC"/>
    <w:rsid w:val="00F90B0B"/>
    <w:rsid w:val="00F929B9"/>
    <w:rsid w:val="00F95071"/>
    <w:rsid w:val="00F968E7"/>
    <w:rsid w:val="00F97E5B"/>
    <w:rsid w:val="00FA1985"/>
    <w:rsid w:val="00FA1C50"/>
    <w:rsid w:val="00FA2FAF"/>
    <w:rsid w:val="00FA32FA"/>
    <w:rsid w:val="00FA4174"/>
    <w:rsid w:val="00FA5656"/>
    <w:rsid w:val="00FA59A3"/>
    <w:rsid w:val="00FA769D"/>
    <w:rsid w:val="00FA7D7A"/>
    <w:rsid w:val="00FB04A7"/>
    <w:rsid w:val="00FB07B0"/>
    <w:rsid w:val="00FB0EAB"/>
    <w:rsid w:val="00FB17F9"/>
    <w:rsid w:val="00FB18AD"/>
    <w:rsid w:val="00FB3F96"/>
    <w:rsid w:val="00FB78BA"/>
    <w:rsid w:val="00FB7ED3"/>
    <w:rsid w:val="00FC0E7E"/>
    <w:rsid w:val="00FC1C2F"/>
    <w:rsid w:val="00FC25BC"/>
    <w:rsid w:val="00FC261F"/>
    <w:rsid w:val="00FC2D99"/>
    <w:rsid w:val="00FC3CDC"/>
    <w:rsid w:val="00FC50AD"/>
    <w:rsid w:val="00FC55A2"/>
    <w:rsid w:val="00FC60D6"/>
    <w:rsid w:val="00FC618E"/>
    <w:rsid w:val="00FC757A"/>
    <w:rsid w:val="00FC79A1"/>
    <w:rsid w:val="00FD043D"/>
    <w:rsid w:val="00FD0AAB"/>
    <w:rsid w:val="00FD13B0"/>
    <w:rsid w:val="00FD14C4"/>
    <w:rsid w:val="00FD3B50"/>
    <w:rsid w:val="00FD4576"/>
    <w:rsid w:val="00FD4DB7"/>
    <w:rsid w:val="00FD51D4"/>
    <w:rsid w:val="00FD67AC"/>
    <w:rsid w:val="00FE0AB3"/>
    <w:rsid w:val="00FE1071"/>
    <w:rsid w:val="00FE19BC"/>
    <w:rsid w:val="00FE2523"/>
    <w:rsid w:val="00FE34BC"/>
    <w:rsid w:val="00FE3CBD"/>
    <w:rsid w:val="00FE43D3"/>
    <w:rsid w:val="00FE470D"/>
    <w:rsid w:val="00FE52C8"/>
    <w:rsid w:val="00FE5350"/>
    <w:rsid w:val="00FE5B53"/>
    <w:rsid w:val="00FE74E4"/>
    <w:rsid w:val="00FF19C0"/>
    <w:rsid w:val="00FF2019"/>
    <w:rsid w:val="00FF29AF"/>
    <w:rsid w:val="00FF342D"/>
    <w:rsid w:val="00FF42D9"/>
    <w:rsid w:val="00FF6204"/>
    <w:rsid w:val="00FF6C0B"/>
    <w:rsid w:val="00FF6C5A"/>
    <w:rsid w:val="00FF765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C180"/>
  <w15:docId w15:val="{5DA83F98-F996-4A06-9945-3984ED6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Заголовок Знак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e">
    <w:name w:val="Emphasis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C5150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BD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qFormat/>
    <w:rsid w:val="000747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4">
    <w:name w:val="Placeholder Text"/>
    <w:uiPriority w:val="99"/>
    <w:semiHidden/>
    <w:rsid w:val="000747B8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377098"/>
  </w:style>
  <w:style w:type="table" w:customStyle="1" w:styleId="4">
    <w:name w:val="Сетка таблицы4"/>
    <w:basedOn w:val="a1"/>
    <w:next w:val="a3"/>
    <w:rsid w:val="0037709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77098"/>
  </w:style>
  <w:style w:type="table" w:customStyle="1" w:styleId="111">
    <w:name w:val="Сетка таблицы11"/>
    <w:basedOn w:val="a1"/>
    <w:next w:val="a3"/>
    <w:uiPriority w:val="59"/>
    <w:rsid w:val="003770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377098"/>
    <w:rPr>
      <w:rFonts w:ascii="Times New Roman" w:eastAsia="MS Mincho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</w:divsChild>
        </w:div>
      </w:divsChild>
    </w:div>
    <w:div w:id="894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44BE-F94B-4738-BDE7-7FE9FA13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18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k224</dc:creator>
  <cp:keywords/>
  <dc:description/>
  <cp:lastModifiedBy>comp06</cp:lastModifiedBy>
  <cp:revision>31</cp:revision>
  <cp:lastPrinted>2021-12-10T01:53:00Z</cp:lastPrinted>
  <dcterms:created xsi:type="dcterms:W3CDTF">2020-12-15T02:01:00Z</dcterms:created>
  <dcterms:modified xsi:type="dcterms:W3CDTF">2021-12-21T03:06:00Z</dcterms:modified>
</cp:coreProperties>
</file>